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26A19" w14:textId="144C7399" w:rsidR="00974E83" w:rsidRDefault="0094011C" w:rsidP="00AE6AF4">
      <w:r>
        <w:t>Příloha č. 1 Smlouvy o poskytnutí subskripce</w:t>
      </w:r>
      <w:r w:rsidR="009C2627">
        <w:t xml:space="preserve"> </w:t>
      </w:r>
    </w:p>
    <w:p w14:paraId="08DD35E6" w14:textId="77777777" w:rsidR="00974E83" w:rsidRPr="00974E83" w:rsidRDefault="00974E83" w:rsidP="00974E83">
      <w:pPr>
        <w:pStyle w:val="Nadpis1"/>
      </w:pPr>
      <w:r w:rsidRPr="00974E83">
        <w:t>Seznam zkratek</w:t>
      </w:r>
    </w:p>
    <w:p w14:paraId="296972DA" w14:textId="77777777" w:rsidR="00974E83" w:rsidRPr="00974E83" w:rsidRDefault="00974E83" w:rsidP="00974E83">
      <w:pPr>
        <w:jc w:val="left"/>
      </w:pPr>
      <w:r w:rsidRPr="00974E83">
        <w:t>Níže uvedená tabulka obsahuje seznam zkratek a pojmů použitých v rámci této Technické specifikace.</w:t>
      </w:r>
    </w:p>
    <w:p w14:paraId="4D67D4CF" w14:textId="77777777" w:rsidR="00974E83" w:rsidRPr="00974E83" w:rsidRDefault="00974E83" w:rsidP="00974E83">
      <w:pPr>
        <w:jc w:val="left"/>
      </w:pPr>
      <w:r w:rsidRPr="00974E83">
        <w:t>Přehled zkratek a pojmů: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5634"/>
      </w:tblGrid>
      <w:tr w:rsidR="00974E83" w:rsidRPr="00974E83" w14:paraId="7A0947CE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vAlign w:val="center"/>
            <w:hideMark/>
          </w:tcPr>
          <w:p w14:paraId="235BEB35" w14:textId="77777777" w:rsidR="00974E83" w:rsidRPr="00D343D2" w:rsidRDefault="00974E83" w:rsidP="00974E83">
            <w:pPr>
              <w:rPr>
                <w:b/>
                <w:color w:val="auto"/>
              </w:rPr>
            </w:pPr>
            <w:r w:rsidRPr="00D343D2">
              <w:rPr>
                <w:b/>
              </w:rPr>
              <w:t xml:space="preserve">Zkratka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vAlign w:val="center"/>
            <w:hideMark/>
          </w:tcPr>
          <w:p w14:paraId="185B1A36" w14:textId="77777777" w:rsidR="00974E83" w:rsidRPr="00D343D2" w:rsidRDefault="00974E83" w:rsidP="00974E83">
            <w:pPr>
              <w:rPr>
                <w:b/>
                <w:color w:val="auto"/>
              </w:rPr>
            </w:pPr>
            <w:r w:rsidRPr="00D343D2">
              <w:rPr>
                <w:b/>
              </w:rPr>
              <w:t>Popis</w:t>
            </w:r>
          </w:p>
        </w:tc>
      </w:tr>
      <w:tr w:rsidR="00974E83" w:rsidRPr="00974E83" w14:paraId="4281D9EF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4A0E5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IT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D6329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informační technologie</w:t>
            </w:r>
          </w:p>
        </w:tc>
      </w:tr>
      <w:tr w:rsidR="00974E83" w:rsidRPr="00974E83" w14:paraId="3D0DAD0C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28EF4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ML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2D40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rPr>
                <w:color w:val="auto"/>
              </w:rPr>
              <w:t>M</w:t>
            </w:r>
            <w:r>
              <w:rPr>
                <w:color w:val="auto"/>
              </w:rPr>
              <w:t>a</w:t>
            </w:r>
            <w:r w:rsidRPr="00974E83">
              <w:rPr>
                <w:color w:val="auto"/>
              </w:rPr>
              <w:t>chine Learning – strojové učení</w:t>
            </w:r>
          </w:p>
        </w:tc>
      </w:tr>
      <w:tr w:rsidR="00974E83" w:rsidRPr="00974E83" w14:paraId="5DC64E4D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47349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URL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78DC3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Uniform Resource Locator</w:t>
            </w:r>
          </w:p>
        </w:tc>
      </w:tr>
      <w:tr w:rsidR="00974E83" w:rsidRPr="00974E83" w14:paraId="12059D19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6BF5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SSL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7E8A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Secure Socker Layer</w:t>
            </w:r>
          </w:p>
        </w:tc>
      </w:tr>
      <w:tr w:rsidR="00974E83" w:rsidRPr="00974E83" w14:paraId="3EEA11B8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88BA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TLS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2F2D1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Transport Layer Security</w:t>
            </w:r>
          </w:p>
        </w:tc>
      </w:tr>
      <w:tr w:rsidR="00974E83" w:rsidRPr="00974E83" w14:paraId="6033DD7A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B698D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IP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301AB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Internet Protocol</w:t>
            </w:r>
          </w:p>
        </w:tc>
      </w:tr>
      <w:tr w:rsidR="00974E83" w:rsidRPr="00974E83" w14:paraId="0AD1E00D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481C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TCP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3EE82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Transmission Control Protocol</w:t>
            </w:r>
          </w:p>
        </w:tc>
      </w:tr>
      <w:tr w:rsidR="00974E83" w:rsidRPr="00974E83" w14:paraId="396633B5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CF8A3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IPsec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B5B9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IP security</w:t>
            </w:r>
          </w:p>
        </w:tc>
      </w:tr>
      <w:tr w:rsidR="00974E83" w:rsidRPr="00974E83" w14:paraId="59D4D827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A7DE6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LDAP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C9D8B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Lightweight Directory Access Protocol</w:t>
            </w:r>
          </w:p>
        </w:tc>
      </w:tr>
      <w:tr w:rsidR="00974E83" w:rsidRPr="00974E83" w14:paraId="7D49A2FB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53758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NTLM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90962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New Technology LAN Manager</w:t>
            </w:r>
          </w:p>
        </w:tc>
      </w:tr>
      <w:tr w:rsidR="00974E83" w:rsidRPr="00974E83" w14:paraId="6C2995F1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E61B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RADIUS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8282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Remote Authentication Dial In User Service</w:t>
            </w:r>
          </w:p>
        </w:tc>
      </w:tr>
      <w:tr w:rsidR="00974E83" w:rsidRPr="00974E83" w14:paraId="5EBA364D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A31B8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TACASC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21A5E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Terminal Access Controller Access-Control System</w:t>
            </w:r>
          </w:p>
        </w:tc>
      </w:tr>
      <w:tr w:rsidR="00974E83" w:rsidRPr="00974E83" w14:paraId="691B2754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223FB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SSO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B1F43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Single Sign On</w:t>
            </w:r>
          </w:p>
        </w:tc>
      </w:tr>
      <w:tr w:rsidR="00974E83" w:rsidRPr="00974E83" w14:paraId="13D38FE8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0A120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NAT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219C5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Network Address Translation</w:t>
            </w:r>
          </w:p>
        </w:tc>
      </w:tr>
      <w:tr w:rsidR="00974E83" w:rsidRPr="00974E83" w14:paraId="785EBC0B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47BFE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DNS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58866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Domain Name System</w:t>
            </w:r>
          </w:p>
        </w:tc>
      </w:tr>
      <w:tr w:rsidR="00974E83" w:rsidRPr="00974E83" w14:paraId="251EA8DA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0F019" w14:textId="77777777" w:rsidR="00974E83" w:rsidRPr="00974E83" w:rsidRDefault="00974E83" w:rsidP="00974E83">
            <w:r>
              <w:t>RSA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7E3E5" w14:textId="77777777" w:rsidR="00974E83" w:rsidRPr="00974E83" w:rsidRDefault="00CE457A" w:rsidP="00974E83">
            <w:r>
              <w:t>Š</w:t>
            </w:r>
            <w:r w:rsidRPr="00CE457A">
              <w:t>ifra s veřejným klíčem</w:t>
            </w:r>
          </w:p>
        </w:tc>
      </w:tr>
      <w:tr w:rsidR="004D488F" w:rsidRPr="00974E83" w14:paraId="17152836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72D0" w14:textId="77777777" w:rsidR="004D488F" w:rsidRDefault="004D488F" w:rsidP="00974E83">
            <w:r>
              <w:t>RBAC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5134" w14:textId="77777777" w:rsidR="004D488F" w:rsidRDefault="004D488F" w:rsidP="00974E83">
            <w:r>
              <w:t>Nastavení oprávnění podle rolí</w:t>
            </w:r>
          </w:p>
        </w:tc>
      </w:tr>
      <w:tr w:rsidR="00CE457A" w:rsidRPr="00974E83" w14:paraId="7DFFA914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45DCF" w14:textId="77777777" w:rsidR="00CE457A" w:rsidRDefault="00CE457A" w:rsidP="00974E83">
            <w:r>
              <w:t>RBI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F9EE6" w14:textId="77777777" w:rsidR="00CE457A" w:rsidRDefault="00CE457A" w:rsidP="00974E83">
            <w:r>
              <w:t>Remote Browser Isolation</w:t>
            </w:r>
          </w:p>
        </w:tc>
      </w:tr>
      <w:tr w:rsidR="00CE457A" w:rsidRPr="00974E83" w14:paraId="01C4C1B8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66810" w14:textId="77777777" w:rsidR="00CE457A" w:rsidRDefault="00CE457A" w:rsidP="00974E83">
            <w:r>
              <w:t>AV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31B23" w14:textId="77777777" w:rsidR="00CE457A" w:rsidRDefault="00CE457A" w:rsidP="00974E83">
            <w:r>
              <w:t>AntiVirus/AntiMalware systém</w:t>
            </w:r>
          </w:p>
        </w:tc>
      </w:tr>
      <w:tr w:rsidR="00B62665" w:rsidRPr="00974E83" w14:paraId="346C920E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86591" w14:textId="77777777" w:rsidR="00B62665" w:rsidRDefault="00B62665" w:rsidP="00974E83">
            <w:r>
              <w:t>DLP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D4E96" w14:textId="77777777" w:rsidR="00B62665" w:rsidRDefault="00B62665" w:rsidP="00974E83">
            <w:r>
              <w:t>Ochrana proti úniku dat</w:t>
            </w:r>
          </w:p>
        </w:tc>
      </w:tr>
      <w:tr w:rsidR="00E603E5" w:rsidRPr="00974E83" w14:paraId="74D87590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FA74" w14:textId="77777777" w:rsidR="00E603E5" w:rsidRDefault="00E603E5" w:rsidP="00974E83">
            <w:r>
              <w:t>SIEM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0609" w14:textId="77777777" w:rsidR="00E603E5" w:rsidRDefault="00E603E5" w:rsidP="00974E83">
            <w:r w:rsidRPr="00E603E5">
              <w:t>Security Information and Event Management</w:t>
            </w:r>
          </w:p>
        </w:tc>
      </w:tr>
      <w:tr w:rsidR="00E603E5" w:rsidRPr="00974E83" w14:paraId="08BD6860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2FD8A" w14:textId="77777777" w:rsidR="00E603E5" w:rsidRDefault="00E603E5" w:rsidP="00974E83">
            <w:r>
              <w:t>EDR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56415" w14:textId="77777777" w:rsidR="00E603E5" w:rsidRPr="00E603E5" w:rsidRDefault="00E603E5" w:rsidP="00974E83">
            <w:r>
              <w:t xml:space="preserve">Systém pro detekci a řešení bezpečnostních událostí na koncovém zařízení </w:t>
            </w:r>
          </w:p>
        </w:tc>
      </w:tr>
      <w:tr w:rsidR="00E603E5" w:rsidRPr="00974E83" w14:paraId="4BB5D94C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9F055" w14:textId="77777777" w:rsidR="00E603E5" w:rsidRDefault="00E603E5" w:rsidP="00974E83">
            <w:r>
              <w:t>XDR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5D554" w14:textId="77777777" w:rsidR="00E603E5" w:rsidRDefault="00E603E5" w:rsidP="00974E83">
            <w:r>
              <w:t>Systém pro rozšířenou detekci a řešení bezpečnostních událostí na koncovém zařízení</w:t>
            </w:r>
          </w:p>
        </w:tc>
      </w:tr>
    </w:tbl>
    <w:p w14:paraId="1A5E1406" w14:textId="77777777" w:rsidR="00D1577A" w:rsidRPr="00AE6AF4" w:rsidRDefault="00D1577A" w:rsidP="00AE6AF4">
      <w:pPr>
        <w:pStyle w:val="Nadpis1"/>
        <w:rPr>
          <w:rFonts w:eastAsiaTheme="majorEastAsia"/>
        </w:rPr>
      </w:pPr>
      <w:r w:rsidRPr="00AE6AF4">
        <w:rPr>
          <w:rFonts w:eastAsiaTheme="majorEastAsia"/>
        </w:rPr>
        <w:t>Úvod</w:t>
      </w:r>
    </w:p>
    <w:p w14:paraId="2632F4BC" w14:textId="68E301E8" w:rsidR="00D1577A" w:rsidRPr="00AE6AF4" w:rsidRDefault="00D1577A" w:rsidP="00AE6AF4">
      <w:pPr>
        <w:rPr>
          <w:rFonts w:eastAsiaTheme="majorEastAsia"/>
        </w:rPr>
      </w:pPr>
      <w:r w:rsidRPr="00AE6AF4">
        <w:rPr>
          <w:rFonts w:eastAsiaTheme="majorEastAsia"/>
        </w:rPr>
        <w:t>Tento dokument je přílohou a nedílnou součástí zadávací dokumentace týkající se veřejné zakázky s názvem „</w:t>
      </w:r>
      <w:r w:rsidR="004E2F47">
        <w:t>Výměna proxy řešení SŽ</w:t>
      </w:r>
      <w:r w:rsidRPr="00AE6AF4">
        <w:rPr>
          <w:rFonts w:eastAsiaTheme="majorEastAsia"/>
        </w:rPr>
        <w:t>“ (dále jen „veřejná zakázka“), pro organizaci Správa železnic, státní organizace (dále jen „SŽ“ nebo “</w:t>
      </w:r>
      <w:r w:rsidR="0094011C">
        <w:rPr>
          <w:rFonts w:eastAsiaTheme="majorEastAsia"/>
        </w:rPr>
        <w:t>Objednatel</w:t>
      </w:r>
      <w:r w:rsidRPr="00AE6AF4">
        <w:rPr>
          <w:rFonts w:eastAsiaTheme="majorEastAsia"/>
        </w:rPr>
        <w:t>”). Dokument popisuje technické a jiné požadavky na veřejnou zakázku.</w:t>
      </w:r>
    </w:p>
    <w:p w14:paraId="0BE39FE0" w14:textId="778C3909" w:rsidR="00D1577A" w:rsidRPr="00AE6AF4" w:rsidRDefault="00D1577A" w:rsidP="00AE6AF4">
      <w:r w:rsidRPr="00AE6AF4">
        <w:rPr>
          <w:rFonts w:eastAsiaTheme="majorEastAsia"/>
        </w:rPr>
        <w:t xml:space="preserve">Technická specifikace je závazná a její nedodržení </w:t>
      </w:r>
      <w:r w:rsidR="00A4651F">
        <w:rPr>
          <w:rFonts w:eastAsiaTheme="majorEastAsia"/>
        </w:rPr>
        <w:t>může být</w:t>
      </w:r>
      <w:r w:rsidR="00A4651F" w:rsidRPr="00AE6AF4">
        <w:rPr>
          <w:rFonts w:eastAsiaTheme="majorEastAsia"/>
        </w:rPr>
        <w:t xml:space="preserve"> </w:t>
      </w:r>
      <w:r w:rsidRPr="00AE6AF4">
        <w:rPr>
          <w:rFonts w:eastAsiaTheme="majorEastAsia"/>
        </w:rPr>
        <w:t>důvodem k vyloučení dodavatele ze zadávacího řízení.</w:t>
      </w:r>
    </w:p>
    <w:p w14:paraId="3679041B" w14:textId="77777777" w:rsidR="00AE6AF4" w:rsidRPr="00D1577A" w:rsidRDefault="00AE6AF4" w:rsidP="00AE6AF4"/>
    <w:p w14:paraId="5B9F4E55" w14:textId="77777777" w:rsidR="00D1577A" w:rsidRPr="00AE6AF4" w:rsidRDefault="00D1577A" w:rsidP="00AE6AF4">
      <w:pPr>
        <w:pStyle w:val="Nadpis2"/>
        <w:rPr>
          <w:rFonts w:eastAsiaTheme="majorEastAsia"/>
        </w:rPr>
      </w:pPr>
      <w:r w:rsidRPr="00AE6AF4">
        <w:rPr>
          <w:rFonts w:eastAsiaTheme="majorEastAsia"/>
        </w:rPr>
        <w:t>Předmět plnění veřejné zakázky</w:t>
      </w:r>
    </w:p>
    <w:p w14:paraId="098CFA82" w14:textId="164CBD87" w:rsidR="00D1577A" w:rsidRDefault="00D1577A" w:rsidP="00AE6AF4">
      <w:r w:rsidRPr="00D1577A">
        <w:t xml:space="preserve">Předmětem plnění </w:t>
      </w:r>
      <w:r w:rsidR="004B4947">
        <w:t>smlouvy</w:t>
      </w:r>
      <w:r w:rsidRPr="00D1577A">
        <w:t xml:space="preserve"> je dodávka technologie </w:t>
      </w:r>
      <w:r>
        <w:t>webového proxy serveru a cloudového osobního firewallu</w:t>
      </w:r>
      <w:r w:rsidRPr="00D1577A">
        <w:t xml:space="preserve"> pro ochranu </w:t>
      </w:r>
      <w:r>
        <w:t>koncových zařízení provozovaných vně i mimo</w:t>
      </w:r>
      <w:r w:rsidRPr="00D1577A">
        <w:t xml:space="preserve"> sítě </w:t>
      </w:r>
      <w:r w:rsidR="0094011C">
        <w:t>Objednatel</w:t>
      </w:r>
      <w:r w:rsidRPr="00D1577A">
        <w:t xml:space="preserve">e, implementace a konfigurace dodané technologie a odborné školení správy a údržby dodané technologie pro vybrané odborné pracovníky </w:t>
      </w:r>
      <w:r w:rsidR="0094011C">
        <w:t>Objednatel</w:t>
      </w:r>
      <w:r w:rsidRPr="00D1577A">
        <w:t>e. Nedílnou součástí plnění je také technická podpora dodaných technologií, pravidelné aktualizace bezpečnostních funkcionalit a post-implementační podpora</w:t>
      </w:r>
      <w:r>
        <w:t xml:space="preserve"> </w:t>
      </w:r>
      <w:r w:rsidR="0094011C">
        <w:t>Objednatel</w:t>
      </w:r>
      <w:r w:rsidRPr="00D1577A">
        <w:t>e.</w:t>
      </w:r>
    </w:p>
    <w:p w14:paraId="007308B9" w14:textId="77777777" w:rsidR="00D1577A" w:rsidRDefault="00D1577A" w:rsidP="00AE6AF4"/>
    <w:p w14:paraId="58225D39" w14:textId="5EF88CC1" w:rsidR="00D1577A" w:rsidRPr="006975BA" w:rsidRDefault="004B4947" w:rsidP="006975BA">
      <w:pPr>
        <w:keepNext/>
        <w:rPr>
          <w:rFonts w:ascii="Times New Roman" w:hAnsi="Times New Roman"/>
          <w:sz w:val="24"/>
          <w:szCs w:val="24"/>
        </w:rPr>
      </w:pPr>
      <w:r>
        <w:t>Obsahem jsou</w:t>
      </w:r>
      <w:r w:rsidR="00D1577A" w:rsidRPr="006975BA">
        <w:t xml:space="preserve"> následující poptávané oblasti:</w:t>
      </w:r>
    </w:p>
    <w:p w14:paraId="395F4081" w14:textId="77777777" w:rsidR="00D1577A" w:rsidRDefault="00D1577A" w:rsidP="00AE6AF4">
      <w:r w:rsidRPr="00D1577A">
        <w:rPr>
          <w:rFonts w:ascii="Wingdings" w:eastAsia="Wingdings" w:hAnsi="Wingdings" w:cs="Wingdings"/>
        </w:rPr>
        <w:t>§</w:t>
      </w:r>
      <w:r w:rsidRPr="00D1577A">
        <w:rPr>
          <w:rFonts w:ascii="Wingdings" w:hAnsi="Wingdings"/>
        </w:rPr>
        <w:t></w:t>
      </w:r>
      <w:r>
        <w:t>Dodávka technologií a subskripcí</w:t>
      </w:r>
    </w:p>
    <w:p w14:paraId="163A7047" w14:textId="77777777" w:rsidR="00D1577A" w:rsidRDefault="00D1577A" w:rsidP="00AE6AF4">
      <w:r w:rsidRPr="00D1577A">
        <w:rPr>
          <w:rFonts w:ascii="Wingdings" w:eastAsia="Wingdings" w:hAnsi="Wingdings" w:cs="Wingdings"/>
        </w:rPr>
        <w:t>§</w:t>
      </w:r>
      <w:r w:rsidRPr="00D1577A">
        <w:rPr>
          <w:rFonts w:ascii="Wingdings" w:hAnsi="Wingdings"/>
        </w:rPr>
        <w:t></w:t>
      </w:r>
      <w:r w:rsidRPr="00D1577A">
        <w:t>Implementační práce</w:t>
      </w:r>
    </w:p>
    <w:p w14:paraId="5AF21E58" w14:textId="77777777" w:rsidR="00D1577A" w:rsidRPr="00D1577A" w:rsidRDefault="00D1577A" w:rsidP="00AE6AF4">
      <w:r w:rsidRPr="00D1577A">
        <w:rPr>
          <w:rFonts w:ascii="Wingdings" w:eastAsia="Wingdings" w:hAnsi="Wingdings" w:cs="Wingdings"/>
        </w:rPr>
        <w:t>§</w:t>
      </w:r>
      <w:r w:rsidRPr="00D1577A">
        <w:rPr>
          <w:rFonts w:ascii="Wingdings" w:hAnsi="Wingdings"/>
        </w:rPr>
        <w:t></w:t>
      </w:r>
      <w:r w:rsidRPr="00D1577A">
        <w:t>Odborné školení správy a údržby dodaných technologií</w:t>
      </w:r>
    </w:p>
    <w:p w14:paraId="15830BE9" w14:textId="77777777" w:rsidR="00D1577A" w:rsidRPr="00D1577A" w:rsidRDefault="00D1577A" w:rsidP="00AE6AF4">
      <w:r w:rsidRPr="00D1577A">
        <w:rPr>
          <w:rFonts w:ascii="Wingdings" w:eastAsia="Wingdings" w:hAnsi="Wingdings" w:cs="Wingdings"/>
        </w:rPr>
        <w:t>§</w:t>
      </w:r>
      <w:r w:rsidRPr="00D1577A">
        <w:rPr>
          <w:rFonts w:ascii="Wingdings" w:hAnsi="Wingdings"/>
        </w:rPr>
        <w:t></w:t>
      </w:r>
      <w:r w:rsidRPr="00D1577A">
        <w:t>Post-implementační a technická podpora</w:t>
      </w:r>
    </w:p>
    <w:p w14:paraId="5F6C995F" w14:textId="77777777" w:rsidR="00D1577A" w:rsidRDefault="00D1577A" w:rsidP="00AE6AF4">
      <w:r w:rsidRPr="00D1577A">
        <w:rPr>
          <w:rFonts w:ascii="Wingdings" w:eastAsia="Wingdings" w:hAnsi="Wingdings" w:cs="Wingdings"/>
        </w:rPr>
        <w:t>§</w:t>
      </w:r>
      <w:r w:rsidRPr="00D1577A">
        <w:rPr>
          <w:rFonts w:ascii="Wingdings" w:hAnsi="Wingdings"/>
        </w:rPr>
        <w:t></w:t>
      </w:r>
      <w:r w:rsidRPr="00D1577A">
        <w:t>Konzultační služby na vyžádání.</w:t>
      </w:r>
    </w:p>
    <w:p w14:paraId="6444C666" w14:textId="77777777" w:rsidR="00AE6AF4" w:rsidRPr="00D1577A" w:rsidRDefault="00AE6AF4" w:rsidP="00AE6AF4"/>
    <w:p w14:paraId="3D7C1EAE" w14:textId="77777777" w:rsidR="00D1577A" w:rsidRPr="00D1577A" w:rsidRDefault="00D1577A" w:rsidP="00AE6AF4">
      <w:pPr>
        <w:pStyle w:val="Nadpis1"/>
      </w:pPr>
      <w:r w:rsidRPr="00D1577A">
        <w:t>Požadavky na plnění</w:t>
      </w:r>
    </w:p>
    <w:p w14:paraId="5DB1DB11" w14:textId="6B3E38FF" w:rsidR="00D1577A" w:rsidRPr="00D1577A" w:rsidRDefault="00D1577A" w:rsidP="00AE6AF4">
      <w:r w:rsidRPr="00D1577A">
        <w:t>Plnění se musí skládat alespoň z níže uvedených částí:</w:t>
      </w:r>
    </w:p>
    <w:p w14:paraId="0B2DFD8F" w14:textId="77777777" w:rsidR="00D1577A" w:rsidRPr="00D1577A" w:rsidRDefault="00D1577A" w:rsidP="00AE6AF4">
      <w:pPr>
        <w:pStyle w:val="Odstavecseseznamem"/>
        <w:numPr>
          <w:ilvl w:val="0"/>
          <w:numId w:val="1"/>
        </w:numPr>
      </w:pPr>
      <w:r w:rsidRPr="00D1577A">
        <w:t>Dodávka subskripcí pro funkcionality cloud</w:t>
      </w:r>
      <w:r>
        <w:t>ové</w:t>
      </w:r>
      <w:r w:rsidRPr="00D1577A">
        <w:t xml:space="preserve"> webové proxy</w:t>
      </w:r>
    </w:p>
    <w:p w14:paraId="7E651D61" w14:textId="77777777" w:rsidR="00D1577A" w:rsidRDefault="00D1577A" w:rsidP="00AE6AF4">
      <w:pPr>
        <w:pStyle w:val="Odstavecseseznamem"/>
        <w:numPr>
          <w:ilvl w:val="0"/>
          <w:numId w:val="1"/>
        </w:numPr>
      </w:pPr>
      <w:r>
        <w:t>Dodávka</w:t>
      </w:r>
      <w:r w:rsidR="00AE6AF4">
        <w:t xml:space="preserve"> </w:t>
      </w:r>
      <w:r>
        <w:t>subskripcí pro funkcionality cloudového firewallu</w:t>
      </w:r>
    </w:p>
    <w:p w14:paraId="0825088E" w14:textId="77777777" w:rsidR="00D1577A" w:rsidRDefault="00D1577A" w:rsidP="00AE6AF4">
      <w:pPr>
        <w:pStyle w:val="Odstavecseseznamem"/>
        <w:numPr>
          <w:ilvl w:val="0"/>
          <w:numId w:val="1"/>
        </w:numPr>
      </w:pPr>
      <w:r w:rsidRPr="00D1577A">
        <w:t xml:space="preserve">Implementace </w:t>
      </w:r>
      <w:r>
        <w:t xml:space="preserve">obou funkcionalit v cloudovém prostředí výrobce/poskytovatele </w:t>
      </w:r>
    </w:p>
    <w:p w14:paraId="0FC5DBDF" w14:textId="22523BA7" w:rsidR="00AE6AF4" w:rsidRDefault="00D1577A" w:rsidP="00AE6AF4">
      <w:pPr>
        <w:pStyle w:val="Odstavecseseznamem"/>
        <w:numPr>
          <w:ilvl w:val="0"/>
          <w:numId w:val="1"/>
        </w:numPr>
      </w:pPr>
      <w:r>
        <w:t xml:space="preserve">Integrace na interní systémy </w:t>
      </w:r>
      <w:r w:rsidR="0094011C">
        <w:t>Objednatel</w:t>
      </w:r>
      <w:r>
        <w:t>e</w:t>
      </w:r>
    </w:p>
    <w:p w14:paraId="3490BAE7" w14:textId="77777777" w:rsidR="00AE6AF4" w:rsidRDefault="00D1577A" w:rsidP="00AE6AF4">
      <w:pPr>
        <w:pStyle w:val="Odstavecseseznamem"/>
        <w:numPr>
          <w:ilvl w:val="0"/>
          <w:numId w:val="1"/>
        </w:numPr>
      </w:pPr>
      <w:r w:rsidRPr="00AE6AF4">
        <w:t>Odborné školení</w:t>
      </w:r>
    </w:p>
    <w:p w14:paraId="2F5EEEEF" w14:textId="77777777" w:rsidR="00AE6AF4" w:rsidRDefault="00D1577A" w:rsidP="00AE6AF4">
      <w:pPr>
        <w:pStyle w:val="Odstavecseseznamem"/>
        <w:numPr>
          <w:ilvl w:val="0"/>
          <w:numId w:val="1"/>
        </w:numPr>
      </w:pPr>
      <w:r w:rsidRPr="00AE6AF4">
        <w:t>Post-implementační a technická podpora</w:t>
      </w:r>
    </w:p>
    <w:p w14:paraId="68011772" w14:textId="77777777" w:rsidR="00D1577A" w:rsidRPr="00AE6AF4" w:rsidRDefault="00D1577A" w:rsidP="00AE6AF4">
      <w:pPr>
        <w:pStyle w:val="Odstavecseseznamem"/>
        <w:numPr>
          <w:ilvl w:val="0"/>
          <w:numId w:val="1"/>
        </w:numPr>
      </w:pPr>
      <w:r w:rsidRPr="00AE6AF4">
        <w:t>Konzultační služby na vyžádání.</w:t>
      </w:r>
    </w:p>
    <w:p w14:paraId="0CED5B57" w14:textId="77777777" w:rsidR="00AE6AF4" w:rsidRDefault="00AE6AF4" w:rsidP="00AE6AF4"/>
    <w:p w14:paraId="08D5D3CD" w14:textId="77777777" w:rsidR="00D1577A" w:rsidRPr="00D1577A" w:rsidRDefault="00D1577A" w:rsidP="00AE6AF4">
      <w:r w:rsidRPr="00D1577A">
        <w:t>Vyloučení technologií představujících kybernetickou hrozbu</w:t>
      </w:r>
    </w:p>
    <w:p w14:paraId="0E2B25FC" w14:textId="77777777" w:rsidR="00D1577A" w:rsidRPr="00AE6AF4" w:rsidRDefault="00D1577A" w:rsidP="00AE6AF4">
      <w:pPr>
        <w:rPr>
          <w:rFonts w:ascii="Times New Roman" w:hAnsi="Times New Roman"/>
          <w:i/>
          <w:sz w:val="22"/>
          <w:szCs w:val="24"/>
        </w:rPr>
      </w:pPr>
      <w:r w:rsidRPr="00AE6AF4">
        <w:rPr>
          <w:i/>
          <w:sz w:val="18"/>
        </w:rPr>
        <w:t>Dne 17. prosince 2018 vydal Národní úřad pro kybernetickou a informační bezpečnost Varování, č. j. 3012/2018NÚKIB-E/110, kde uvedl, že: „Použití technických nebo</w:t>
      </w:r>
    </w:p>
    <w:p w14:paraId="285CE51A" w14:textId="77777777" w:rsidR="00D1577A" w:rsidRPr="00AE6AF4" w:rsidRDefault="00D1577A" w:rsidP="00AE6AF4">
      <w:pPr>
        <w:rPr>
          <w:i/>
          <w:sz w:val="18"/>
        </w:rPr>
      </w:pPr>
      <w:r w:rsidRPr="00AE6AF4">
        <w:rPr>
          <w:i/>
          <w:sz w:val="18"/>
        </w:rPr>
        <w:t>programových prostředků následujících společností, včetně jejich dceřiných společností, představuje hrozbu v oblasti kybernetické bezpečnosti:</w:t>
      </w:r>
    </w:p>
    <w:p w14:paraId="0ECDE4E6" w14:textId="77777777" w:rsidR="00D1577A" w:rsidRPr="00AE6AF4" w:rsidRDefault="00D1577A" w:rsidP="00AE6AF4">
      <w:pPr>
        <w:rPr>
          <w:i/>
          <w:sz w:val="18"/>
        </w:rPr>
      </w:pPr>
      <w:r w:rsidRPr="00AE6AF4">
        <w:rPr>
          <w:rFonts w:ascii="Symbol" w:hAnsi="Symbol"/>
          <w:i/>
          <w:sz w:val="18"/>
        </w:rPr>
        <w:t></w:t>
      </w:r>
      <w:r w:rsidRPr="00AE6AF4">
        <w:rPr>
          <w:rFonts w:ascii="Symbol" w:hAnsi="Symbol"/>
          <w:i/>
          <w:sz w:val="18"/>
        </w:rPr>
        <w:t></w:t>
      </w:r>
      <w:r w:rsidRPr="00AE6AF4">
        <w:rPr>
          <w:i/>
          <w:sz w:val="18"/>
        </w:rPr>
        <w:t>Huawei Technologies Co., Ltd, Šen-čen, Čínská lidová republika</w:t>
      </w:r>
    </w:p>
    <w:p w14:paraId="0BD305DA" w14:textId="77777777" w:rsidR="00D1577A" w:rsidRPr="00AE6AF4" w:rsidRDefault="00D1577A" w:rsidP="00AE6AF4">
      <w:pPr>
        <w:rPr>
          <w:i/>
          <w:sz w:val="18"/>
        </w:rPr>
      </w:pPr>
      <w:r w:rsidRPr="00AE6AF4">
        <w:rPr>
          <w:rFonts w:ascii="Symbol" w:hAnsi="Symbol"/>
          <w:i/>
          <w:sz w:val="18"/>
        </w:rPr>
        <w:t></w:t>
      </w:r>
      <w:r w:rsidRPr="00AE6AF4">
        <w:rPr>
          <w:rFonts w:ascii="Symbol" w:hAnsi="Symbol"/>
          <w:i/>
          <w:sz w:val="18"/>
        </w:rPr>
        <w:t></w:t>
      </w:r>
      <w:r w:rsidRPr="00AE6AF4">
        <w:rPr>
          <w:i/>
          <w:sz w:val="18"/>
        </w:rPr>
        <w:t>ZTE Corporation, Šen-čen, Čínská lidová republika“.</w:t>
      </w:r>
    </w:p>
    <w:p w14:paraId="39943BCF" w14:textId="4298930A" w:rsidR="00AE6AF4" w:rsidRDefault="00D1577A" w:rsidP="00AE6AF4">
      <w:r w:rsidRPr="00AE6AF4">
        <w:rPr>
          <w:i/>
          <w:sz w:val="18"/>
        </w:rPr>
        <w:t xml:space="preserve">Dne 4. ledna 2019 vydal Národní úřad pro kybernetickou a informační bezpečnost Metodiku k varování ze dne 17. prosince 2018 (dále jen „metodika“), kde jsou mj. určeny i postupy pro aktualizaci analýzy rizik. V souladu s vydanou metodikou </w:t>
      </w:r>
      <w:r w:rsidR="0094011C">
        <w:rPr>
          <w:i/>
          <w:sz w:val="18"/>
        </w:rPr>
        <w:t>Objednatel</w:t>
      </w:r>
      <w:r w:rsidRPr="00AE6AF4">
        <w:rPr>
          <w:i/>
          <w:sz w:val="18"/>
        </w:rPr>
        <w:t xml:space="preserve"> provedl analýzu rizik související s předmětnou veřejnou zakázkou na dodávky, jak je jeho povinností podle § 5 a § 8 vyhlášky č. 82/2018 Sb., o bezpečnostních opatřeních, kybernetických bezpečnostních incidentech, reaktivních opatřeních, náležitostech podání v oblasti kybernetické bezpečnosti a likvidaci dat, ve znění pozdějších předpisů.</w:t>
      </w:r>
      <w:r w:rsidRPr="00D1577A">
        <w:t xml:space="preserve"> </w:t>
      </w:r>
    </w:p>
    <w:p w14:paraId="06C75636" w14:textId="77777777" w:rsidR="00AE6AF4" w:rsidRDefault="00AE6AF4" w:rsidP="00AE6AF4"/>
    <w:p w14:paraId="2842F936" w14:textId="2B36FB22" w:rsidR="00D1577A" w:rsidRPr="00D1577A" w:rsidRDefault="00D1577A" w:rsidP="00AE6AF4">
      <w:r w:rsidRPr="00D1577A">
        <w:t xml:space="preserve">V návaznosti na to </w:t>
      </w:r>
      <w:r w:rsidR="0094011C">
        <w:t>Objednatel</w:t>
      </w:r>
      <w:r w:rsidRPr="00D1577A">
        <w:t xml:space="preserve"> identifikoval rizika spojená s výše uvedenými technickými a programovými prostředky jako neakceptovatelná a současně opatření k jejich zvládání, kterým je nepřipuštění použití těchto prostředků v rámci plnění veřejné zakázky.</w:t>
      </w:r>
    </w:p>
    <w:p w14:paraId="2C5F4ACF" w14:textId="60815A34" w:rsidR="00D1577A" w:rsidRPr="00D1577A" w:rsidRDefault="0094011C" w:rsidP="00AE6AF4">
      <w:r>
        <w:t>Objednatel</w:t>
      </w:r>
      <w:r w:rsidR="00D1577A" w:rsidRPr="00D1577A">
        <w:t xml:space="preserve"> tak na základě varování NÚKIB, navazující metodiky a provedené analýzy rizik, ve spojení s § 4 odst. 4 ZoKB, nepřipouští v rámci plnění veřejné zakázky použití technických nebo programových prostředků společností (výrobců), které jsou uvedené v současné době platném varování NÚKIB jako hrozba v oblasti kybernetické bezpečnosti.</w:t>
      </w:r>
    </w:p>
    <w:p w14:paraId="5EC5B7E5" w14:textId="77777777" w:rsidR="00D1577A" w:rsidRPr="00D1577A" w:rsidRDefault="00D1577A" w:rsidP="00AE6AF4">
      <w:pPr>
        <w:pStyle w:val="Nadpis2"/>
      </w:pPr>
      <w:r w:rsidRPr="00D1577A">
        <w:t xml:space="preserve">Dodávka </w:t>
      </w:r>
      <w:r w:rsidR="00AE6AF4">
        <w:t>subskripcí pro funkcionality webové proxy</w:t>
      </w:r>
    </w:p>
    <w:p w14:paraId="622CBE15" w14:textId="6CC89831" w:rsidR="00D1577A" w:rsidRDefault="00D1577A" w:rsidP="00AE6AF4">
      <w:r w:rsidRPr="00D1577A">
        <w:t xml:space="preserve">V oblasti dodávky </w:t>
      </w:r>
      <w:r w:rsidR="00AE6AF4">
        <w:t xml:space="preserve">funkcionalit webové proxy </w:t>
      </w:r>
      <w:r w:rsidRPr="00D1577A">
        <w:t xml:space="preserve">definuje </w:t>
      </w:r>
      <w:r w:rsidR="0094011C">
        <w:t>Objednatel</w:t>
      </w:r>
      <w:r w:rsidRPr="00D1577A">
        <w:t xml:space="preserve"> následující požadavky pro každé z nich: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276"/>
        <w:gridCol w:w="3255"/>
      </w:tblGrid>
      <w:tr w:rsidR="00677742" w:rsidRPr="00670EE4" w14:paraId="124320AE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  <w:hideMark/>
          </w:tcPr>
          <w:p w14:paraId="69850910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70EE4">
              <w:rPr>
                <w:rFonts w:ascii="Calibri" w:hAnsi="Calibri" w:cs="Calibri"/>
                <w:b/>
                <w:bCs/>
                <w:sz w:val="22"/>
                <w:szCs w:val="22"/>
              </w:rPr>
              <w:t>požadavek na plnění</w:t>
            </w:r>
          </w:p>
        </w:tc>
        <w:tc>
          <w:tcPr>
            <w:tcW w:w="1276" w:type="dxa"/>
          </w:tcPr>
          <w:p w14:paraId="2FB9980F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Nabízené řešení splňuje</w:t>
            </w:r>
          </w:p>
        </w:tc>
        <w:tc>
          <w:tcPr>
            <w:tcW w:w="3255" w:type="dxa"/>
          </w:tcPr>
          <w:p w14:paraId="7E0B4AD7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Popis naplnění pro nabízené řešení</w:t>
            </w:r>
          </w:p>
        </w:tc>
      </w:tr>
      <w:tr w:rsidR="00E26D01" w:rsidRPr="00670EE4" w14:paraId="157A149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4496F61" w14:textId="4AEC2BA3" w:rsidR="00E26D01" w:rsidRPr="00670EE4" w:rsidRDefault="00E26D01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29AF93DC">
              <w:rPr>
                <w:rFonts w:ascii="Calibri" w:hAnsi="Calibri" w:cs="Calibri"/>
                <w:sz w:val="22"/>
                <w:szCs w:val="22"/>
              </w:rPr>
              <w:t xml:space="preserve">Funkce webové proxy pro 11 000 uživatelů respektive </w:t>
            </w:r>
            <w:r w:rsidR="3D183FAE" w:rsidRPr="29AF93DC">
              <w:rPr>
                <w:rFonts w:ascii="Calibri" w:hAnsi="Calibri" w:cs="Calibri"/>
                <w:sz w:val="22"/>
                <w:szCs w:val="22"/>
              </w:rPr>
              <w:t>15 000</w:t>
            </w:r>
            <w:r w:rsidRPr="29AF93DC">
              <w:rPr>
                <w:rFonts w:ascii="Calibri" w:hAnsi="Calibri" w:cs="Calibri"/>
                <w:sz w:val="22"/>
                <w:szCs w:val="22"/>
              </w:rPr>
              <w:t xml:space="preserve"> zařízení.</w:t>
            </w:r>
            <w:r>
              <w:br/>
            </w:r>
            <w:r w:rsidRPr="29AF93DC">
              <w:rPr>
                <w:rFonts w:ascii="Calibri" w:hAnsi="Calibri" w:cs="Calibri"/>
                <w:sz w:val="22"/>
                <w:szCs w:val="22"/>
              </w:rPr>
              <w:t>(oba kvantitativní požadavky musí být</w:t>
            </w:r>
            <w:r w:rsidR="003617EC" w:rsidRPr="29AF93DC">
              <w:rPr>
                <w:rFonts w:ascii="Calibri" w:hAnsi="Calibri" w:cs="Calibri"/>
                <w:sz w:val="22"/>
                <w:szCs w:val="22"/>
              </w:rPr>
              <w:t xml:space="preserve"> naplněny</w:t>
            </w:r>
            <w:r w:rsidRPr="29AF93DC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0042B09D" w14:textId="77777777" w:rsidR="00E26D01" w:rsidRDefault="003617EC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97E1862" w14:textId="2CA8BDEA" w:rsidR="00E26D01" w:rsidRPr="00670EE4" w:rsidRDefault="009033FC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677742" w:rsidRPr="00670EE4" w14:paraId="1FB6A672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031B02A3" w14:textId="1F4F89DC" w:rsidR="00677742" w:rsidRPr="00670EE4" w:rsidRDefault="00677742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>Cloudová webová proxy poskytovaná v SLA 99,</w:t>
            </w:r>
            <w:r w:rsidR="00D60385">
              <w:rPr>
                <w:rFonts w:ascii="Calibri" w:hAnsi="Calibri" w:cs="Calibri"/>
                <w:sz w:val="22"/>
                <w:szCs w:val="22"/>
              </w:rPr>
              <w:t>5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14:paraId="3E40D78B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899CF68" w14:textId="24F64756" w:rsidR="00677742" w:rsidRPr="00670EE4" w:rsidRDefault="009033FC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D47F366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D1C18D7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Služba bude poskytována z vlastních cloudových center výrobce, nikoli veřejných public cloudů (AWS, Azure atp.)</w:t>
            </w:r>
          </w:p>
        </w:tc>
        <w:tc>
          <w:tcPr>
            <w:tcW w:w="1276" w:type="dxa"/>
          </w:tcPr>
          <w:p w14:paraId="79F1B722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90B9B0C" w14:textId="02C8C1C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486D17B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C517A4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Přístup k minimálně 50 datovým centrům po celém světě, z nichž každé musí poskytovat stejnou podporu pro všechny níže uvedené funkce.</w:t>
            </w:r>
          </w:p>
        </w:tc>
        <w:tc>
          <w:tcPr>
            <w:tcW w:w="1276" w:type="dxa"/>
          </w:tcPr>
          <w:p w14:paraId="4CCDCB8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E0658BC" w14:textId="22BCD61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5809AF" w:rsidRPr="00670EE4" w14:paraId="7234765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31F2377" w14:textId="77777777" w:rsidR="005809AF" w:rsidRPr="00670EE4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Platformu je možné omezit na využití cloudových center výrobce striktně jen v EU regionu</w:t>
            </w:r>
          </w:p>
        </w:tc>
        <w:tc>
          <w:tcPr>
            <w:tcW w:w="1276" w:type="dxa"/>
          </w:tcPr>
          <w:p w14:paraId="3CA06685" w14:textId="77777777" w:rsidR="005809AF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7089D16F" w14:textId="69673AA9" w:rsidR="005809AF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5809AF" w:rsidRPr="00670EE4" w14:paraId="1DD4DB0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1AD2B3E" w14:textId="77777777" w:rsidR="005809AF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 musí umožnit definovat lokalizační zónu, aby dotazování vracelo relevantní výsledky pro Českou republiku</w:t>
            </w:r>
          </w:p>
        </w:tc>
        <w:tc>
          <w:tcPr>
            <w:tcW w:w="1276" w:type="dxa"/>
          </w:tcPr>
          <w:p w14:paraId="4B60CD8D" w14:textId="77777777" w:rsidR="005809AF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BBA86DE" w14:textId="3A3E9206" w:rsidR="005809AF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558C17C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09E34FFF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V každém datovém centru má služba přímý peering s minimálně </w:t>
            </w:r>
            <w:r>
              <w:rPr>
                <w:rFonts w:ascii="Calibri" w:hAnsi="Calibri" w:cs="Calibri"/>
                <w:sz w:val="22"/>
                <w:szCs w:val="22"/>
              </w:rPr>
              <w:t>třemi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poskytovateli SaaS – AWS, Google a Microsoft.</w:t>
            </w:r>
          </w:p>
        </w:tc>
        <w:tc>
          <w:tcPr>
            <w:tcW w:w="1276" w:type="dxa"/>
          </w:tcPr>
          <w:p w14:paraId="7080A2C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1F2A962" w14:textId="09399017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750C4C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9038451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Služba, která implementuje popsané funkce, musí zaručit latenci ne vyšší než:</w:t>
            </w:r>
          </w:p>
          <w:p w14:paraId="76F80232" w14:textId="77777777" w:rsidR="003617EC" w:rsidRPr="00F94EFD" w:rsidRDefault="003617EC" w:rsidP="003617EC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10 ms pro nedešifrovaný provoz</w:t>
            </w:r>
          </w:p>
          <w:p w14:paraId="23793226" w14:textId="77777777" w:rsidR="003617EC" w:rsidRPr="00F94EFD" w:rsidRDefault="003617EC" w:rsidP="003617EC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50 ms pro dešifrovaný provoz</w:t>
            </w:r>
          </w:p>
        </w:tc>
        <w:tc>
          <w:tcPr>
            <w:tcW w:w="1276" w:type="dxa"/>
          </w:tcPr>
          <w:p w14:paraId="7B85AA8D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1ECDFC1" w14:textId="5E91A7EF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4935117A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099118E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Datová centra, ze kterých bude služba poskytována musí mít následující certifikace:</w:t>
            </w:r>
          </w:p>
          <w:p w14:paraId="4B434E93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ISO 27001</w:t>
            </w:r>
          </w:p>
          <w:p w14:paraId="702A3D02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PCI DSS</w:t>
            </w:r>
          </w:p>
          <w:p w14:paraId="1F736D3D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SOC 2 Typ II</w:t>
            </w:r>
          </w:p>
          <w:p w14:paraId="2A328C36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NIST 800-53/FISMA</w:t>
            </w:r>
          </w:p>
        </w:tc>
        <w:tc>
          <w:tcPr>
            <w:tcW w:w="1276" w:type="dxa"/>
          </w:tcPr>
          <w:p w14:paraId="7039BF4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726C8B9E" w14:textId="79B6410E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DCB732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3EC508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umožňovat minimálně následující způsoby řízení provozu – instalovaný agent, IPSec, GRE, Cloud Explicit Proxy.</w:t>
            </w:r>
          </w:p>
        </w:tc>
        <w:tc>
          <w:tcPr>
            <w:tcW w:w="1276" w:type="dxa"/>
          </w:tcPr>
          <w:p w14:paraId="6BD9673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E5A6B1A" w14:textId="037A76AB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BFB52C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10C72AF" w14:textId="5FA8279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 nesmí shromažďovat a ukládat inspektovaná data, vyjma ukládání metadat, provozních dat (logy/incidenty atp.)</w:t>
            </w:r>
          </w:p>
        </w:tc>
        <w:tc>
          <w:tcPr>
            <w:tcW w:w="1276" w:type="dxa"/>
          </w:tcPr>
          <w:p w14:paraId="1598782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546E63C" w14:textId="2564D676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602DCC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3A2907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být schopna importovat uživatele ze služby Active Directory.</w:t>
            </w:r>
          </w:p>
        </w:tc>
        <w:tc>
          <w:tcPr>
            <w:tcW w:w="1276" w:type="dxa"/>
          </w:tcPr>
          <w:p w14:paraId="1E8D746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33B79CB0" w14:textId="7795ECC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0D59E16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6DCE47C" w14:textId="5B41C145" w:rsidR="003617EC" w:rsidRPr="00F94EFD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 xml:space="preserve">Platforma se musí integrovat s následujícími systémy </w:t>
            </w:r>
            <w:r w:rsidR="0094011C">
              <w:rPr>
                <w:rFonts w:ascii="Calibri" w:hAnsi="Calibri" w:cs="Calibri"/>
                <w:sz w:val="22"/>
                <w:szCs w:val="22"/>
              </w:rPr>
              <w:t>Objednatel</w:t>
            </w:r>
            <w:r w:rsidRPr="00F94EFD">
              <w:rPr>
                <w:rFonts w:ascii="Calibri" w:hAnsi="Calibri" w:cs="Calibri"/>
                <w:sz w:val="22"/>
                <w:szCs w:val="22"/>
              </w:rPr>
              <w:t>e:</w:t>
            </w:r>
          </w:p>
          <w:p w14:paraId="73363E3D" w14:textId="3674332A" w:rsidR="003617EC" w:rsidRPr="00F94EFD" w:rsidRDefault="003617EC" w:rsidP="003617EC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XDR</w:t>
            </w:r>
            <w:r w:rsidR="008D5C2B">
              <w:rPr>
                <w:rFonts w:ascii="Calibri" w:hAnsi="Calibri" w:cs="Calibri"/>
                <w:sz w:val="22"/>
                <w:szCs w:val="22"/>
              </w:rPr>
              <w:t>:</w:t>
            </w:r>
            <w:r w:rsidRPr="00F94EF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D5C2B">
              <w:rPr>
                <w:rFonts w:ascii="Calibri" w:hAnsi="Calibri" w:cs="Calibri"/>
                <w:sz w:val="22"/>
                <w:szCs w:val="22"/>
              </w:rPr>
              <w:t>Fidelis</w:t>
            </w:r>
          </w:p>
          <w:p w14:paraId="7F762D38" w14:textId="2471BD90" w:rsidR="003617EC" w:rsidRPr="005203AD" w:rsidRDefault="003617EC" w:rsidP="005203A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Microsoft Active Directory</w:t>
            </w:r>
          </w:p>
        </w:tc>
        <w:tc>
          <w:tcPr>
            <w:tcW w:w="1276" w:type="dxa"/>
          </w:tcPr>
          <w:p w14:paraId="73B1B93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41ABD1C" w14:textId="3F13ADFC" w:rsidR="003617EC" w:rsidRPr="00F94EFD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CACD5F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E1E6D55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Přesměrování provozu na službu musí být provedeno pomocí odlehčeného agenta pro následující platformy: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05550B0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Windows</w:t>
            </w:r>
          </w:p>
          <w:p w14:paraId="04053EB1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MacOS</w:t>
            </w:r>
          </w:p>
          <w:p w14:paraId="5842BC1B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 xml:space="preserve">Linux </w:t>
            </w:r>
          </w:p>
          <w:p w14:paraId="13372D4E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Apple iOS</w:t>
            </w:r>
          </w:p>
          <w:p w14:paraId="46D1C67A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Android</w:t>
            </w:r>
          </w:p>
        </w:tc>
        <w:tc>
          <w:tcPr>
            <w:tcW w:w="1276" w:type="dxa"/>
          </w:tcPr>
          <w:p w14:paraId="78B8188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992B815" w14:textId="7D1F1779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A90AC4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D996AD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Musí být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možné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instalovat agenta pomocí automatizovaných distribučních nástrojů, jako </w:t>
            </w: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>jsou JAMF, SCCM, Microsoft Endpoint Manager (Intune) a Microsoft GPO.</w:t>
            </w:r>
          </w:p>
        </w:tc>
        <w:tc>
          <w:tcPr>
            <w:tcW w:w="1276" w:type="dxa"/>
          </w:tcPr>
          <w:p w14:paraId="71A50C47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3255" w:type="dxa"/>
          </w:tcPr>
          <w:p w14:paraId="63D4ECE3" w14:textId="1B4E223A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28E66B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B2E54F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Agent musí detekovat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svou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přítomnost v místě s přímým přístupem k</w:t>
            </w:r>
            <w:r>
              <w:rPr>
                <w:rFonts w:ascii="Calibri" w:hAnsi="Calibri" w:cs="Calibri"/>
                <w:sz w:val="22"/>
                <w:szCs w:val="22"/>
              </w:rPr>
              <w:t>e zdrojům koncového zařízení (jeho OS)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B7E900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21681F88" w14:textId="05592A2A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98C8F44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C07712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Agent by měl směrovat provoz do služby na základě FQDN, subdomén doménových jmen, rozsahu IP adres a jednotlivých IP adres.</w:t>
            </w:r>
          </w:p>
        </w:tc>
        <w:tc>
          <w:tcPr>
            <w:tcW w:w="1276" w:type="dxa"/>
          </w:tcPr>
          <w:p w14:paraId="648D4DA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BE98B2A" w14:textId="25A25752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722758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06108B5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Veškerá komunikace se službou musí být prováděna jedním agentem – analýza in-line provozu z hlediska hrozeb, přenos citlivých dat, zajištění plné viditelnosti provozu a přístupu k</w:t>
            </w:r>
            <w:r>
              <w:rPr>
                <w:rFonts w:ascii="Calibri" w:hAnsi="Calibri" w:cs="Calibri"/>
                <w:sz w:val="22"/>
                <w:szCs w:val="22"/>
              </w:rPr>
              <w:t>e 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zdrojům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koncového zařízení (jeho OS)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3597DBE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DDBDFB9" w14:textId="1F8FB89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CB9981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0039429" w14:textId="77777777" w:rsidR="003617EC" w:rsidRDefault="003617EC" w:rsidP="003617EC">
            <w:pPr>
              <w:jc w:val="left"/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Veškerá komunikace mezi agentem a službou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musí být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šifrována s použitím parametrů ne horších než:</w:t>
            </w:r>
            <w:r>
              <w:t xml:space="preserve"> </w:t>
            </w:r>
          </w:p>
          <w:p w14:paraId="4457B3BF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Šifrovací sada: ECDHE-ECDSA-AES256-GCM-SHA384,</w:t>
            </w:r>
          </w:p>
          <w:p w14:paraId="739791D5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Protokol: TLS v1.2,</w:t>
            </w:r>
          </w:p>
          <w:p w14:paraId="18C2845A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Asymetrická výměna klíčů: eliptická křivka Diffie–Hellman (ECDH),</w:t>
            </w:r>
          </w:p>
          <w:p w14:paraId="795C40CA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Autentizace: RSA 2048 (vzájemné TLS pomocí certifikátů RSA s délkou klíče 2048 bitů),</w:t>
            </w:r>
          </w:p>
          <w:p w14:paraId="632E8C40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Symetrické šifrování: AES-GCM256 (256 bitů),</w:t>
            </w:r>
          </w:p>
          <w:p w14:paraId="0BC771A8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Integrita: HMAC-SHA384 (384 bitů).</w:t>
            </w:r>
          </w:p>
        </w:tc>
        <w:tc>
          <w:tcPr>
            <w:tcW w:w="1276" w:type="dxa"/>
          </w:tcPr>
          <w:p w14:paraId="7D5FFDE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669CE993" w14:textId="5849D63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916132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70BEB6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musí </w:t>
            </w:r>
            <w:r>
              <w:rPr>
                <w:rFonts w:ascii="Calibri" w:hAnsi="Calibri" w:cs="Calibri"/>
                <w:sz w:val="22"/>
                <w:szCs w:val="22"/>
              </w:rPr>
              <w:t>umožňovat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automatické aktualizace agentů na koncových zařízeních.</w:t>
            </w:r>
          </w:p>
        </w:tc>
        <w:tc>
          <w:tcPr>
            <w:tcW w:w="1276" w:type="dxa"/>
          </w:tcPr>
          <w:p w14:paraId="4F532B88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4B9DB12" w14:textId="55A974F1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BE8254C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EE8F823" w14:textId="286A9E62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Platforma musí poskytovat možnost vytvářet </w:t>
            </w:r>
            <w:r>
              <w:rPr>
                <w:rFonts w:ascii="Calibri" w:hAnsi="Calibri" w:cs="Calibri"/>
                <w:sz w:val="22"/>
                <w:szCs w:val="22"/>
              </w:rPr>
              <w:t>politiky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přístupu, které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inspektovaný provoz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povolí, zablokují nebo </w:t>
            </w:r>
            <w:r>
              <w:rPr>
                <w:rFonts w:ascii="Calibri" w:hAnsi="Calibri" w:cs="Calibri"/>
                <w:sz w:val="22"/>
                <w:szCs w:val="22"/>
              </w:rPr>
              <w:t>proškolí uživatele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A84290F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B281631" w14:textId="4012CF0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BBF41E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3EBCA19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Politiky přístupu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být prosazovány alespoň v závislosti na:</w:t>
            </w:r>
          </w:p>
          <w:p w14:paraId="47B4F3BA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Uživatel</w:t>
            </w:r>
          </w:p>
          <w:p w14:paraId="03F70DD3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Externí IP adresa</w:t>
            </w:r>
          </w:p>
          <w:p w14:paraId="37DA16AB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Země</w:t>
            </w:r>
          </w:p>
          <w:p w14:paraId="44A46EBE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Hodnocení uživatelů</w:t>
            </w:r>
          </w:p>
          <w:p w14:paraId="733959F1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Operační systém</w:t>
            </w:r>
          </w:p>
          <w:p w14:paraId="7A3C7A78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Prohlížeč</w:t>
            </w:r>
          </w:p>
          <w:p w14:paraId="7D333A9C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Způsoby připojení</w:t>
            </w:r>
          </w:p>
          <w:p w14:paraId="315C7DF7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Klasifikace zařízení.</w:t>
            </w:r>
          </w:p>
        </w:tc>
        <w:tc>
          <w:tcPr>
            <w:tcW w:w="1276" w:type="dxa"/>
          </w:tcPr>
          <w:p w14:paraId="445939FB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2E123670" w14:textId="3A306530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8581EF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34F0A63" w14:textId="77777777" w:rsidR="003617EC" w:rsidRPr="009E1A2E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Klasifikace zařízení musí být ověřena alespoň na základě:</w:t>
            </w:r>
          </w:p>
          <w:p w14:paraId="4A4E53E7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Šifrování</w:t>
            </w:r>
          </w:p>
          <w:p w14:paraId="39F599E3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Zápis</w:t>
            </w:r>
            <w:r>
              <w:rPr>
                <w:rFonts w:ascii="Calibri" w:hAnsi="Calibri" w:cs="Calibri"/>
                <w:sz w:val="22"/>
                <w:szCs w:val="22"/>
              </w:rPr>
              <w:t>ů</w:t>
            </w:r>
            <w:r w:rsidRPr="009E1A2E">
              <w:rPr>
                <w:rFonts w:ascii="Calibri" w:hAnsi="Calibri" w:cs="Calibri"/>
                <w:sz w:val="22"/>
                <w:szCs w:val="22"/>
              </w:rPr>
              <w:t xml:space="preserve"> v registru,</w:t>
            </w:r>
          </w:p>
          <w:p w14:paraId="1E1D728F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Spuštěných procesů</w:t>
            </w:r>
            <w:r w:rsidRPr="009E1A2E">
              <w:rPr>
                <w:rFonts w:ascii="Calibri" w:hAnsi="Calibri" w:cs="Calibri"/>
                <w:sz w:val="22"/>
                <w:szCs w:val="22"/>
              </w:rPr>
              <w:t xml:space="preserve"> proces,</w:t>
            </w:r>
          </w:p>
          <w:p w14:paraId="6AC08A4C" w14:textId="77777777" w:rsidR="003617EC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Členství v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9E1A2E">
              <w:rPr>
                <w:rFonts w:ascii="Calibri" w:hAnsi="Calibri" w:cs="Calibri"/>
                <w:sz w:val="22"/>
                <w:szCs w:val="22"/>
              </w:rPr>
              <w:t>doméně</w:t>
            </w:r>
          </w:p>
          <w:p w14:paraId="77868835" w14:textId="77777777" w:rsidR="003617EC" w:rsidRPr="00670EE4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Certifikátu</w:t>
            </w:r>
          </w:p>
        </w:tc>
        <w:tc>
          <w:tcPr>
            <w:tcW w:w="1276" w:type="dxa"/>
          </w:tcPr>
          <w:p w14:paraId="7F244A18" w14:textId="77777777" w:rsidR="003617EC" w:rsidRPr="009E1A2E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2E3B69D7" w14:textId="795ACB93" w:rsidR="003617EC" w:rsidRPr="009E1A2E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CA7523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7A8DCF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Platforma musí umožňovat vytváření vlastních oznámení pro koncového uživatele pro každou nakonfigurovanou politiku. Oznámení musí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umožňovat zobrazení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vlastní</w:t>
            </w:r>
            <w:r>
              <w:rPr>
                <w:rFonts w:ascii="Calibri" w:hAnsi="Calibri" w:cs="Calibri"/>
                <w:sz w:val="22"/>
                <w:szCs w:val="22"/>
              </w:rPr>
              <w:t>ho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log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a text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1431FDDF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CE51D71" w14:textId="2166929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FE4435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A08E8FC" w14:textId="1896C3E4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mít rozhraní REST API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 integraci se stávajícím</w:t>
            </w:r>
            <w:r w:rsidR="00FE7DDD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budoucími systémy </w:t>
            </w:r>
            <w:r w:rsidR="0094011C">
              <w:rPr>
                <w:rFonts w:ascii="Calibri" w:hAnsi="Calibri" w:cs="Calibri"/>
                <w:sz w:val="22"/>
                <w:szCs w:val="22"/>
              </w:rPr>
              <w:t>Objednatel</w:t>
            </w:r>
            <w:r>
              <w:rPr>
                <w:rFonts w:ascii="Calibri" w:hAnsi="Calibri" w:cs="Calibri"/>
                <w:sz w:val="22"/>
                <w:szCs w:val="22"/>
              </w:rPr>
              <w:t>e.</w:t>
            </w:r>
          </w:p>
        </w:tc>
        <w:tc>
          <w:tcPr>
            <w:tcW w:w="1276" w:type="dxa"/>
          </w:tcPr>
          <w:p w14:paraId="62DED47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98935DE" w14:textId="2B4E9967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56A0DDE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2F740B6" w14:textId="77777777" w:rsidR="003617EC" w:rsidRDefault="003617EC" w:rsidP="003617EC">
            <w:pPr>
              <w:jc w:val="left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musí 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provádět inline kontrolu provozu a proxy pro HTTP a HTTPS provoz a poskytovat následující funkce:</w:t>
            </w:r>
            <w:r>
              <w:t xml:space="preserve"> </w:t>
            </w:r>
          </w:p>
          <w:p w14:paraId="527A4821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Ochrana webového provozu i služeb SaaS a IaaS/PaaS</w:t>
            </w:r>
          </w:p>
          <w:p w14:paraId="382DF4CD" w14:textId="0AA854A8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 xml:space="preserve">Schopnost nastavit tunely IPsec a GRE z poboček přímo do služby, aniž by bylo nutné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enkryptrovat v jediném místě(centrálním VPN koncentrátoru </w:t>
            </w:r>
            <w:r w:rsidR="0094011C">
              <w:rPr>
                <w:rFonts w:ascii="Calibri" w:hAnsi="Calibri" w:cs="Calibri"/>
                <w:sz w:val="22"/>
                <w:szCs w:val="22"/>
              </w:rPr>
              <w:t>Objednatel</w:t>
            </w:r>
            <w:r>
              <w:rPr>
                <w:rFonts w:ascii="Calibri" w:hAnsi="Calibri" w:cs="Calibri"/>
                <w:sz w:val="22"/>
                <w:szCs w:val="22"/>
              </w:rPr>
              <w:t>e)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6153C01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Integrace s SSO, MFA a Active Directory</w:t>
            </w:r>
          </w:p>
          <w:p w14:paraId="07ABE2E9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Reverzní proxy pomocí integrace IdP</w:t>
            </w:r>
          </w:p>
          <w:p w14:paraId="682CB160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Nativní kontrola provozu TLS v1.2 a v1.3</w:t>
            </w:r>
          </w:p>
          <w:p w14:paraId="159D9A93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Vytv</w:t>
            </w:r>
            <w:r>
              <w:rPr>
                <w:rFonts w:ascii="Calibri" w:hAnsi="Calibri" w:cs="Calibri"/>
                <w:sz w:val="22"/>
                <w:szCs w:val="22"/>
              </w:rPr>
              <w:t>áření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podrobné bezpečnostní politiky</w:t>
            </w:r>
          </w:p>
          <w:p w14:paraId="5A3FC60D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Rozpoznávání instancí aplikací a uživatelských akcí</w:t>
            </w:r>
          </w:p>
          <w:p w14:paraId="5B9DD9F5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Databáze sdružující hodnocení rizik pro více než 70 tisíc cloudových služeb a aplikací</w:t>
            </w:r>
          </w:p>
          <w:p w14:paraId="51BF61CC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Open API</w:t>
            </w:r>
          </w:p>
        </w:tc>
        <w:tc>
          <w:tcPr>
            <w:tcW w:w="1276" w:type="dxa"/>
          </w:tcPr>
          <w:p w14:paraId="3617A820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499A55F" w14:textId="130D353B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FD5DD3C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0A2EE1D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provádět filtrování webového provozu poskytováním následujících funkcí:</w:t>
            </w:r>
          </w:p>
          <w:p w14:paraId="6595C106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Filtrování adres URL pro minimálně 130 kategorií</w:t>
            </w:r>
          </w:p>
          <w:p w14:paraId="3D1AF200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Podpora místních jazyků pro minimálně 190 zemí</w:t>
            </w:r>
          </w:p>
          <w:p w14:paraId="4DC2B647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Dynamická kategorizace webových stránek pro 70 kategorií</w:t>
            </w:r>
          </w:p>
          <w:p w14:paraId="41D7982F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Nástroj pro ověřování kategorií webu</w:t>
            </w:r>
          </w:p>
          <w:p w14:paraId="06F62D7A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Možnost změny zařazení do jednotlivých kategorií</w:t>
            </w:r>
          </w:p>
          <w:p w14:paraId="2D3B521A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ovolení, blokování nebo pokračování určitých činností</w:t>
            </w:r>
          </w:p>
          <w:p w14:paraId="57C96C70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Defin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ování 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vlastní</w:t>
            </w: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upozornění pro uživatele</w:t>
            </w:r>
          </w:p>
          <w:p w14:paraId="6551D8FB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Vytváření 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vlastní</w:t>
            </w: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kategori</w:t>
            </w:r>
            <w:r>
              <w:rPr>
                <w:rFonts w:ascii="Calibri" w:hAnsi="Calibri" w:cs="Calibri"/>
                <w:sz w:val="22"/>
                <w:szCs w:val="22"/>
              </w:rPr>
              <w:t>í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včetně seznamů povolených/blokovaných</w:t>
            </w:r>
          </w:p>
        </w:tc>
        <w:tc>
          <w:tcPr>
            <w:tcW w:w="1276" w:type="dxa"/>
          </w:tcPr>
          <w:p w14:paraId="0FFDFC4A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DC453F7" w14:textId="2B3BCF85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23A1B15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A950A9C" w14:textId="77777777" w:rsidR="003617EC" w:rsidRPr="00974E83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974E83">
              <w:rPr>
                <w:rFonts w:ascii="Calibri" w:hAnsi="Calibri" w:cs="Calibri"/>
                <w:sz w:val="22"/>
                <w:szCs w:val="22"/>
              </w:rPr>
              <w:t xml:space="preserve"> musí poskytovat ochranu před hrozbami poskytováním následujících funkcí:</w:t>
            </w:r>
          </w:p>
          <w:p w14:paraId="62C4C4E8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Analýza typu souboru</w:t>
            </w:r>
          </w:p>
          <w:p w14:paraId="31C2E800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Antimalwarová inspekce</w:t>
            </w:r>
          </w:p>
          <w:p w14:paraId="1D4B1B2C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lastRenderedPageBreak/>
              <w:t>Napojení na alespoň 40 informačních kanálů s hrozbami (Threat Intel feed)</w:t>
            </w:r>
          </w:p>
          <w:p w14:paraId="655E3249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Schopnost importovat IoC obsahující informace o škodlivých URL a hash hodnot pro soubory</w:t>
            </w:r>
          </w:p>
          <w:p w14:paraId="69BC0969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 xml:space="preserve">Inline strojové učení přenosných </w:t>
            </w:r>
            <w:r>
              <w:rPr>
                <w:rFonts w:ascii="Calibri" w:hAnsi="Calibri" w:cs="Calibri"/>
                <w:sz w:val="22"/>
                <w:szCs w:val="22"/>
              </w:rPr>
              <w:t>Ano/Ne</w:t>
            </w:r>
            <w:r w:rsidRPr="00974E83">
              <w:rPr>
                <w:rFonts w:ascii="Calibri" w:hAnsi="Calibri" w:cs="Calibri"/>
                <w:sz w:val="22"/>
                <w:szCs w:val="22"/>
              </w:rPr>
              <w:t xml:space="preserve"> spustitelných souborů pro detekci a blokování malwaru typu Zero Day Attack</w:t>
            </w:r>
          </w:p>
          <w:p w14:paraId="6DC1FAC0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Detekce phishingu s klasifikátorem ML k identifikaci phishingových domén v reálném čase blokováním přístupu na tyto stránky</w:t>
            </w:r>
          </w:p>
          <w:p w14:paraId="45BD9062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Standardní sandboxing pro potvrzení všech AV/ML detekcí</w:t>
            </w:r>
          </w:p>
          <w:p w14:paraId="1458EA87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Akce karantény pro škodlivé soubory s režimem nasazení API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(možnost detailní definice, co s karanténním obsahem dělat)</w:t>
            </w:r>
          </w:p>
          <w:p w14:paraId="3229F83D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sdílení informací o hrozbách s </w:t>
            </w:r>
            <w:r w:rsidRPr="00974E83">
              <w:rPr>
                <w:rFonts w:ascii="Calibri" w:hAnsi="Calibri" w:cs="Calibri"/>
                <w:sz w:val="22"/>
                <w:szCs w:val="22"/>
              </w:rPr>
              <w:t>EDR</w:t>
            </w:r>
            <w:r>
              <w:rPr>
                <w:rFonts w:ascii="Calibri" w:hAnsi="Calibri" w:cs="Calibri"/>
                <w:sz w:val="22"/>
                <w:szCs w:val="22"/>
              </w:rPr>
              <w:t>/XDR</w:t>
            </w:r>
            <w:r w:rsidRPr="00974E83">
              <w:rPr>
                <w:rFonts w:ascii="Calibri" w:hAnsi="Calibri" w:cs="Calibri"/>
                <w:sz w:val="22"/>
                <w:szCs w:val="22"/>
              </w:rPr>
              <w:t>, SIEM</w:t>
            </w:r>
          </w:p>
        </w:tc>
        <w:tc>
          <w:tcPr>
            <w:tcW w:w="1276" w:type="dxa"/>
          </w:tcPr>
          <w:p w14:paraId="0F2502AC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3255" w:type="dxa"/>
          </w:tcPr>
          <w:p w14:paraId="19E4310A" w14:textId="370F8CD8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B688666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A2DD54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být vybavena funkcí Remote Browser Isolation (RBI), která bezpečně zobrazí rizikovou stránku, formou vykreslování pixelů. Takto zobrazená stránka neobsahuje žádné automaticky spouštěné skripty nebo hrozby.</w:t>
            </w:r>
          </w:p>
        </w:tc>
        <w:tc>
          <w:tcPr>
            <w:tcW w:w="1276" w:type="dxa"/>
          </w:tcPr>
          <w:p w14:paraId="7B5C377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BC9E525" w14:textId="77CE0BA5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4FB9D4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3F8B53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umožňovat vytváření různých profilů pro RBI, ve kterých bude mít správce systému možnost udělovat akce koncovým uživatelům, alespoň jako: možnost kopírovat obsah do schránky ze stránek zpracovaných v RBI, tisknout stránku a přístup pouze pro čtení.</w:t>
            </w:r>
          </w:p>
        </w:tc>
        <w:tc>
          <w:tcPr>
            <w:tcW w:w="1276" w:type="dxa"/>
          </w:tcPr>
          <w:p w14:paraId="574E0295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66C60005" w14:textId="2EE59F2A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B5CC95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3CC8D7F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analyzovat chování uživatele, aby odhalila následující anomálie:</w:t>
            </w:r>
          </w:p>
          <w:p w14:paraId="695D1488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Hromadné nahrávání, stahování nebo mazání dat cloudových aplikací</w:t>
            </w:r>
          </w:p>
          <w:p w14:paraId="32E9859E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Neúspěšné pokusy o přihlášení</w:t>
            </w:r>
          </w:p>
          <w:p w14:paraId="43B7BA91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 xml:space="preserve">Sdílení </w:t>
            </w:r>
            <w:r>
              <w:rPr>
                <w:rFonts w:ascii="Calibri" w:hAnsi="Calibri" w:cs="Calibri"/>
                <w:sz w:val="22"/>
                <w:szCs w:val="22"/>
              </w:rPr>
              <w:t>přístupových údajů</w:t>
            </w:r>
          </w:p>
          <w:p w14:paraId="7A7D210B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Neobvyklé </w:t>
            </w:r>
            <w:r w:rsidRPr="00CE457A">
              <w:rPr>
                <w:rFonts w:ascii="Calibri" w:hAnsi="Calibri" w:cs="Calibri"/>
                <w:sz w:val="22"/>
                <w:szCs w:val="22"/>
              </w:rPr>
              <w:t>události</w:t>
            </w:r>
          </w:p>
          <w:p w14:paraId="2D699111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Rizikové země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(jak pro navštěvované stránky, tak pro provoz koncového zařízení)</w:t>
            </w:r>
          </w:p>
          <w:p w14:paraId="45EF0C92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Exfiltrace dat mezi podnikovými a soukromými instancemi aplikací</w:t>
            </w:r>
          </w:p>
        </w:tc>
        <w:tc>
          <w:tcPr>
            <w:tcW w:w="1276" w:type="dxa"/>
          </w:tcPr>
          <w:p w14:paraId="7EC21D3E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77E8DC6A" w14:textId="35798AD8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E4B3452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71A3F72C" w14:textId="77777777" w:rsidR="003617EC" w:rsidRDefault="003617EC" w:rsidP="003617EC">
            <w:pPr>
              <w:jc w:val="left"/>
            </w:pPr>
            <w:r w:rsidRPr="00110B71">
              <w:rPr>
                <w:rFonts w:ascii="Calibri" w:hAnsi="Calibri" w:cs="Calibri"/>
                <w:sz w:val="22"/>
                <w:szCs w:val="22"/>
              </w:rPr>
              <w:t>Platforma musí disponovat funkcí DLPs následujícími možnostmi:</w:t>
            </w:r>
            <w:r>
              <w:t xml:space="preserve"> </w:t>
            </w:r>
          </w:p>
          <w:p w14:paraId="3A4E4F84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Analýza dat odeslaných do/z cloudových služeb a aplikací</w:t>
            </w:r>
          </w:p>
          <w:p w14:paraId="694D5098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 xml:space="preserve">Minimálně 40 šablon shody s předpisy pro identifikaci citlivých dat v souladu s </w:t>
            </w:r>
            <w:r w:rsidRPr="00110B71">
              <w:rPr>
                <w:rFonts w:ascii="Calibri" w:hAnsi="Calibri" w:cs="Calibri"/>
                <w:sz w:val="22"/>
                <w:szCs w:val="22"/>
              </w:rPr>
              <w:lastRenderedPageBreak/>
              <w:t>mnoha mezinárodními předpisy, jako je GDPR, PCI-DSS</w:t>
            </w:r>
          </w:p>
          <w:p w14:paraId="5619C8A9" w14:textId="77777777" w:rsidR="003617EC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Vlastní p</w:t>
            </w:r>
            <w:r w:rsidRPr="00110B71">
              <w:rPr>
                <w:rFonts w:ascii="Calibri" w:hAnsi="Calibri" w:cs="Calibri"/>
                <w:sz w:val="22"/>
                <w:szCs w:val="22"/>
              </w:rPr>
              <w:t>rofily DLP pro citlivá data, která nejsou vázána na konkrétní předpisy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110B7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633D562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Vlastní profily musí umět klasifikovat a inspektovat</w:t>
            </w:r>
            <w:r w:rsidRPr="00110B71">
              <w:rPr>
                <w:rFonts w:ascii="Calibri" w:hAnsi="Calibri" w:cs="Calibri"/>
                <w:sz w:val="22"/>
                <w:szCs w:val="22"/>
              </w:rPr>
              <w:t>: Osobně identifikovatelné informace (PII), chráněné zdravotní informace (PHI), zdrojový kód, dokumenty chráněné heslem a vulgární výrazy.</w:t>
            </w:r>
          </w:p>
          <w:p w14:paraId="7D8DF035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Identifikace minimálně 1500 typů souborů z hlediska obsahu citlivých dat</w:t>
            </w:r>
          </w:p>
          <w:p w14:paraId="494518C4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Schopnost definovat vlastní vzory pomocí regulárního výrazu</w:t>
            </w:r>
          </w:p>
          <w:p w14:paraId="7AD3E640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Schopnost definovat vlastní slovníky</w:t>
            </w:r>
          </w:p>
          <w:p w14:paraId="2E35174B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Možnost správy incidentů DLP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 konkrétní administrátorskou roli</w:t>
            </w:r>
          </w:p>
        </w:tc>
        <w:tc>
          <w:tcPr>
            <w:tcW w:w="1276" w:type="dxa"/>
          </w:tcPr>
          <w:p w14:paraId="45CB5D68" w14:textId="77777777" w:rsidR="003617EC" w:rsidRPr="00110B71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3255" w:type="dxa"/>
          </w:tcPr>
          <w:p w14:paraId="25CB2B5C" w14:textId="27092068" w:rsidR="003617EC" w:rsidRPr="00110B71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744BE55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6232E11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musí umožňovat monitorování a pokročilou analýzu rizikových faktorů a poskytovat tyto funkce:</w:t>
            </w:r>
          </w:p>
          <w:p w14:paraId="2EAB1AD1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Uchovávání dat po dobu minimálně 7 dní pro výstrahy, webové události, události aplikací, události přístupu soukromých aplikací, síťové události a transakční události</w:t>
            </w:r>
          </w:p>
          <w:p w14:paraId="75309931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Dobu uchovávání musí být možné prodloužit o 3, 6 nebo 13 měsíců</w:t>
            </w:r>
          </w:p>
          <w:p w14:paraId="6471E1C3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Pokročilá vizualizace dat s možností vytvářet vlastní reporty</w:t>
            </w:r>
          </w:p>
          <w:p w14:paraId="7FEEE481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Knihovna s minimálně 20 předdefinovanými řídicími panely pokrývajícími cloudovou aktivitu, analýzu rizik a zásady dodržování předpisů</w:t>
            </w:r>
          </w:p>
          <w:p w14:paraId="0AC133EF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Data uchovávaná po dobu 7 dnů v rozsahu nejméně 4 GB pro 100 uživatelů</w:t>
            </w:r>
          </w:p>
        </w:tc>
        <w:tc>
          <w:tcPr>
            <w:tcW w:w="1276" w:type="dxa"/>
          </w:tcPr>
          <w:p w14:paraId="30F21019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160525E" w14:textId="58531C31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4FA97DB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A095D5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být schopna integrace s řešeními SaaS nebo IaaS pomocí API.</w:t>
            </w:r>
          </w:p>
        </w:tc>
        <w:tc>
          <w:tcPr>
            <w:tcW w:w="1276" w:type="dxa"/>
          </w:tcPr>
          <w:p w14:paraId="644F2F1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CCF818B" w14:textId="09684FA8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0358CC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4480B7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Integrace SaaS musí být možná alespoň s: Box, Cisco Webex Teams, Dropbox, GitHub, Gmail, Disk Google, Microsoft Office 365 (Onedrive, Outlook, SharePoint, Teams), ServiceNow, Slack,  Atlassian Confluence, Atlasssian Jira Cloud, Citrix ShareFile, GitHub a Zoom.</w:t>
            </w:r>
          </w:p>
        </w:tc>
        <w:tc>
          <w:tcPr>
            <w:tcW w:w="1276" w:type="dxa"/>
          </w:tcPr>
          <w:p w14:paraId="4AEC294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60F91F60" w14:textId="7410028E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E16964F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1658AA7" w14:textId="77777777" w:rsidR="003617EC" w:rsidRPr="00670EE4" w:rsidRDefault="0078568A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3617EC" w:rsidRPr="00670EE4">
              <w:rPr>
                <w:rFonts w:ascii="Calibri" w:hAnsi="Calibri" w:cs="Calibri"/>
                <w:sz w:val="22"/>
                <w:szCs w:val="22"/>
              </w:rPr>
              <w:t>ntegrace přes API musí poskytovat možnost ověřit zdroje řešení SaaS, alespoň v rozsahu všech souborů na zdroji, souborů porušujících zásady úniku dat (DLP) nebo zjištěných hrozeb.</w:t>
            </w:r>
          </w:p>
        </w:tc>
        <w:tc>
          <w:tcPr>
            <w:tcW w:w="1276" w:type="dxa"/>
          </w:tcPr>
          <w:p w14:paraId="1F84E78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8B33575" w14:textId="0B0FE4A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235AF5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3910F2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Platforma musí poskytovat schopnost automaticky </w:t>
            </w:r>
            <w:r>
              <w:rPr>
                <w:rFonts w:ascii="Calibri" w:hAnsi="Calibri" w:cs="Calibri"/>
                <w:sz w:val="22"/>
                <w:szCs w:val="22"/>
              </w:rPr>
              <w:t>vy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jednat s integrovanými aplikacemi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zásah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v případě, že soubor porušuje pravidla zásady úniku dat (DLP).</w:t>
            </w:r>
          </w:p>
        </w:tc>
        <w:tc>
          <w:tcPr>
            <w:tcW w:w="1276" w:type="dxa"/>
          </w:tcPr>
          <w:p w14:paraId="4EFECBF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FE4A90A" w14:textId="6A9AB86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68D996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009453C2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Integrace musí poskytovat možnosti zpětného skenování k identifikaci všech aktiv v integrované aplikaci podle zásad zabezpečení dat (DLP).</w:t>
            </w:r>
          </w:p>
        </w:tc>
        <w:tc>
          <w:tcPr>
            <w:tcW w:w="1276" w:type="dxa"/>
          </w:tcPr>
          <w:p w14:paraId="555DE0F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D8C3302" w14:textId="55BFE483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6720AD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143282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29AF93DC">
              <w:rPr>
                <w:rFonts w:ascii="Calibri" w:hAnsi="Calibri" w:cs="Calibri"/>
                <w:sz w:val="22"/>
                <w:szCs w:val="22"/>
              </w:rPr>
              <w:t>Platforma musí být auditovatelná podle bezpečnostních standardů, jako jsou NIST, CSF, CIS, PCI, GDPR, ISO 27002, Zákon o kybernetické bezpečnosti.</w:t>
            </w:r>
          </w:p>
        </w:tc>
        <w:tc>
          <w:tcPr>
            <w:tcW w:w="1276" w:type="dxa"/>
          </w:tcPr>
          <w:p w14:paraId="58679C22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9DDA0E4" w14:textId="7A68F92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462CD0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015D26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Audit musí vrátit informace o problému a způsobu řešení problému, aby byl v souladu s normou.</w:t>
            </w:r>
          </w:p>
        </w:tc>
        <w:tc>
          <w:tcPr>
            <w:tcW w:w="1276" w:type="dxa"/>
          </w:tcPr>
          <w:p w14:paraId="2035E1D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E2674FC" w14:textId="1127702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4A056BB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D5F5097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být spravovatelná z jediné konzole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centrální správy přístupn</w:t>
            </w:r>
            <w:r>
              <w:rPr>
                <w:rFonts w:ascii="Calibri" w:hAnsi="Calibri" w:cs="Calibri"/>
                <w:sz w:val="22"/>
                <w:szCs w:val="22"/>
              </w:rPr>
              <w:t>é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z prohlížeče.</w:t>
            </w:r>
          </w:p>
        </w:tc>
        <w:tc>
          <w:tcPr>
            <w:tcW w:w="1276" w:type="dxa"/>
          </w:tcPr>
          <w:p w14:paraId="5CA397A8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AFDE9F7" w14:textId="706B80F7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BFC0E5A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D023428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Centrální řídící konzole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musí mít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vestavěné nástroje pro ověřování správnosti konfigurace, ověřování dostupnosti aplikací a simulaci vytvořených politik.</w:t>
            </w:r>
          </w:p>
        </w:tc>
        <w:tc>
          <w:tcPr>
            <w:tcW w:w="1276" w:type="dxa"/>
          </w:tcPr>
          <w:p w14:paraId="6897B2D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EB54A9C" w14:textId="1EC61D34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DC149E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7FBF57B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Musí být možné vytvořit a přiřadit předdefinované role správcům systému pomocí RBAC.</w:t>
            </w:r>
          </w:p>
        </w:tc>
        <w:tc>
          <w:tcPr>
            <w:tcW w:w="1276" w:type="dxa"/>
          </w:tcPr>
          <w:p w14:paraId="6A94796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D01EBD6" w14:textId="2D4BFFE5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99C9306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B3D28F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 musí obsahovat funkcionalitu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kontrolující činnost administrátorů.</w:t>
            </w:r>
          </w:p>
        </w:tc>
        <w:tc>
          <w:tcPr>
            <w:tcW w:w="1276" w:type="dxa"/>
          </w:tcPr>
          <w:p w14:paraId="245963D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45846B0" w14:textId="347C639F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A71B19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6C112CA" w14:textId="77777777" w:rsidR="003617EC" w:rsidRDefault="003617EC" w:rsidP="003617EC">
            <w:pPr>
              <w:jc w:val="left"/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poskytovat protokolování následujících parametrů pro relaci uživatele:</w:t>
            </w:r>
            <w:r>
              <w:t xml:space="preserve"> </w:t>
            </w:r>
          </w:p>
          <w:p w14:paraId="57FA9F68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Datum a čas</w:t>
            </w:r>
          </w:p>
          <w:p w14:paraId="44C23252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Název zásady poskytující soukromý zdroj</w:t>
            </w:r>
          </w:p>
          <w:p w14:paraId="69114FF3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Akce – povolit/zablokovat</w:t>
            </w:r>
          </w:p>
          <w:p w14:paraId="58350726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ID tunelu pro připojení</w:t>
            </w:r>
          </w:p>
          <w:p w14:paraId="05602FE6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Čas nastavení tunelu</w:t>
            </w:r>
          </w:p>
          <w:p w14:paraId="561A3E08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Uživatelské jméno</w:t>
            </w:r>
          </w:p>
          <w:p w14:paraId="47CA8A94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Zdrojový port</w:t>
            </w:r>
          </w:p>
          <w:p w14:paraId="40332928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Operační systém a jeho verze</w:t>
            </w:r>
          </w:p>
          <w:p w14:paraId="05BEB1C3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Název aplikace</w:t>
            </w:r>
          </w:p>
          <w:p w14:paraId="7FB62B3A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Cílový přístav</w:t>
            </w:r>
          </w:p>
          <w:p w14:paraId="0AA5426A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Počet odeslaných, přijatých bajtů a celková hodnota</w:t>
            </w:r>
          </w:p>
          <w:p w14:paraId="00F1972E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Počet odeslaných a přijatých paketů</w:t>
            </w:r>
          </w:p>
          <w:p w14:paraId="4F417BCE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Čas začátku a konce relace</w:t>
            </w:r>
          </w:p>
          <w:p w14:paraId="1E375B3E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Délka relace</w:t>
            </w:r>
          </w:p>
        </w:tc>
        <w:tc>
          <w:tcPr>
            <w:tcW w:w="1276" w:type="dxa"/>
          </w:tcPr>
          <w:p w14:paraId="4CB40A7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3201CF12" w14:textId="0047E4B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C36C7FE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6B6D5B5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Všechny incidenty a výstrahy by měly být dostupné po dobu minimálně 90 dnů.</w:t>
            </w:r>
          </w:p>
        </w:tc>
        <w:tc>
          <w:tcPr>
            <w:tcW w:w="1276" w:type="dxa"/>
          </w:tcPr>
          <w:p w14:paraId="6F31512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2031B2F" w14:textId="1291FF46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E01CDA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CA34705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Platformu lze jednoduše doplnit o funkcionality ZTNA za použití shodného programového vybavení na straně koncových zařízení</w:t>
            </w:r>
          </w:p>
        </w:tc>
        <w:tc>
          <w:tcPr>
            <w:tcW w:w="1276" w:type="dxa"/>
          </w:tcPr>
          <w:p w14:paraId="5EE86C4C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58F8584" w14:textId="2FF4A878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7D9EC6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63A6790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Výrobce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musí poskytovat 24hodinovou technickou podporu, 7 dní v týdnu</w:t>
            </w:r>
          </w:p>
        </w:tc>
        <w:tc>
          <w:tcPr>
            <w:tcW w:w="1276" w:type="dxa"/>
          </w:tcPr>
          <w:p w14:paraId="69A3E37D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F5B2CFE" w14:textId="4CA3D2C6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</w:tbl>
    <w:p w14:paraId="7E4F2D57" w14:textId="77777777" w:rsidR="00163089" w:rsidRDefault="00163089" w:rsidP="00AE6AF4"/>
    <w:p w14:paraId="3E8B619C" w14:textId="77777777" w:rsidR="00670EE4" w:rsidRDefault="00670EE4" w:rsidP="00AE6AF4"/>
    <w:p w14:paraId="38453606" w14:textId="77777777" w:rsidR="00D1577A" w:rsidRPr="00D1577A" w:rsidRDefault="00D1577A" w:rsidP="001121AA">
      <w:pPr>
        <w:pStyle w:val="Nadpis2"/>
      </w:pPr>
      <w:r w:rsidRPr="00D1577A">
        <w:t xml:space="preserve">Implementace </w:t>
      </w:r>
      <w:r w:rsidR="00645753">
        <w:t xml:space="preserve">a integrace </w:t>
      </w:r>
    </w:p>
    <w:p w14:paraId="5236484A" w14:textId="77777777" w:rsidR="00D1577A" w:rsidRPr="00D1577A" w:rsidRDefault="00D1577A" w:rsidP="00AE6AF4">
      <w:r w:rsidRPr="00D1577A">
        <w:t xml:space="preserve">V oblasti implementace </w:t>
      </w:r>
      <w:r w:rsidR="009E7992">
        <w:t xml:space="preserve">a integrace funkcionalit webové proxy a cloudového firewallu </w:t>
      </w:r>
      <w:r w:rsidRPr="00D1577A">
        <w:t>jsou definovány následující činnosti, resp. požadavky:</w:t>
      </w: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685D1EE5" w14:textId="77777777" w:rsidTr="29AF93DC">
        <w:tc>
          <w:tcPr>
            <w:tcW w:w="2969" w:type="dxa"/>
            <w:vAlign w:val="center"/>
            <w:hideMark/>
          </w:tcPr>
          <w:p w14:paraId="07801CFF" w14:textId="77777777" w:rsidR="00D1577A" w:rsidRPr="000361C5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61C5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58E51B82" w14:textId="77777777" w:rsidR="00D1577A" w:rsidRPr="000361C5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61C5">
              <w:rPr>
                <w:b/>
              </w:rPr>
              <w:t>Činnost</w:t>
            </w:r>
          </w:p>
        </w:tc>
      </w:tr>
      <w:tr w:rsidR="00D1577A" w:rsidRPr="00D1577A" w14:paraId="469D99F1" w14:textId="77777777" w:rsidTr="29AF93DC">
        <w:tc>
          <w:tcPr>
            <w:tcW w:w="2969" w:type="dxa"/>
            <w:vAlign w:val="center"/>
            <w:hideMark/>
          </w:tcPr>
          <w:p w14:paraId="57771AC5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Vypropagování a základní nastavení cloudového tenantu</w:t>
            </w:r>
            <w:r w:rsidR="00D1577A" w:rsidRPr="00D1577A">
              <w:t xml:space="preserve"> </w:t>
            </w:r>
          </w:p>
        </w:tc>
        <w:tc>
          <w:tcPr>
            <w:tcW w:w="6095" w:type="dxa"/>
            <w:vAlign w:val="center"/>
            <w:hideMark/>
          </w:tcPr>
          <w:p w14:paraId="0F4AE0C5" w14:textId="75D16908" w:rsidR="00D1577A" w:rsidRPr="00D1577A" w:rsidRDefault="0094011C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Objednatel</w:t>
            </w:r>
            <w:r w:rsidR="00D1577A" w:rsidRPr="00D1577A">
              <w:t xml:space="preserve"> požaduje </w:t>
            </w:r>
            <w:r w:rsidR="000361C5">
              <w:t>zpřístupnění prostředí pro správu řešení a jeho základní nastavení odborníky Dodavatele</w:t>
            </w:r>
            <w:r w:rsidR="00D1577A" w:rsidRPr="00D1577A">
              <w:t>.</w:t>
            </w:r>
          </w:p>
        </w:tc>
      </w:tr>
      <w:tr w:rsidR="00D1577A" w:rsidRPr="00D1577A" w14:paraId="26769340" w14:textId="77777777" w:rsidTr="29AF93DC">
        <w:tc>
          <w:tcPr>
            <w:tcW w:w="2969" w:type="dxa"/>
            <w:vAlign w:val="center"/>
            <w:hideMark/>
          </w:tcPr>
          <w:p w14:paraId="27278B1E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Tvorba základních politik</w:t>
            </w:r>
            <w:r w:rsidR="00D1577A" w:rsidRPr="00D1577A">
              <w:t xml:space="preserve"> </w:t>
            </w:r>
          </w:p>
        </w:tc>
        <w:tc>
          <w:tcPr>
            <w:tcW w:w="6095" w:type="dxa"/>
            <w:vAlign w:val="center"/>
            <w:hideMark/>
          </w:tcPr>
          <w:p w14:paraId="3310CC33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Tvorba a nasazení základních bezpečnostních politik</w:t>
            </w:r>
          </w:p>
        </w:tc>
      </w:tr>
      <w:tr w:rsidR="00D1577A" w:rsidRPr="00D1577A" w14:paraId="331BA27D" w14:textId="77777777" w:rsidTr="29AF93DC">
        <w:tc>
          <w:tcPr>
            <w:tcW w:w="2969" w:type="dxa"/>
            <w:vAlign w:val="center"/>
            <w:hideMark/>
          </w:tcPr>
          <w:p w14:paraId="2DFBC61C" w14:textId="7AED5C3F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Integrace do systému </w:t>
            </w:r>
            <w:r w:rsidR="0094011C">
              <w:t>Objednatel</w:t>
            </w:r>
            <w:r>
              <w:t>e</w:t>
            </w:r>
          </w:p>
        </w:tc>
        <w:tc>
          <w:tcPr>
            <w:tcW w:w="6095" w:type="dxa"/>
            <w:vAlign w:val="center"/>
            <w:hideMark/>
          </w:tcPr>
          <w:p w14:paraId="2EEBDB11" w14:textId="77777777" w:rsidR="00D1577A" w:rsidRDefault="000361C5" w:rsidP="00AE6AF4">
            <w:r>
              <w:t>Integrace na následující systémy:</w:t>
            </w:r>
          </w:p>
          <w:p w14:paraId="293FEC2D" w14:textId="55262A38" w:rsidR="000361C5" w:rsidRPr="00F94EFD" w:rsidRDefault="000361C5" w:rsidP="000361C5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XDR</w:t>
            </w:r>
            <w:r w:rsidR="00F1590D">
              <w:rPr>
                <w:rFonts w:ascii="Calibri" w:hAnsi="Calibri" w:cs="Calibri"/>
                <w:sz w:val="22"/>
                <w:szCs w:val="22"/>
              </w:rPr>
              <w:t>: Fidelis</w:t>
            </w:r>
          </w:p>
          <w:p w14:paraId="7D7CAD92" w14:textId="6D5608D3" w:rsidR="000361C5" w:rsidRPr="00F1590D" w:rsidRDefault="64668C9A" w:rsidP="00F1590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29AF93DC">
              <w:rPr>
                <w:rFonts w:ascii="Calibri" w:hAnsi="Calibri" w:cs="Calibri"/>
                <w:sz w:val="22"/>
                <w:szCs w:val="22"/>
              </w:rPr>
              <w:t>Microsoft Active Directory</w:t>
            </w:r>
          </w:p>
        </w:tc>
      </w:tr>
      <w:tr w:rsidR="00D1577A" w:rsidRPr="00D1577A" w14:paraId="2F5FD251" w14:textId="77777777" w:rsidTr="29AF93DC">
        <w:tc>
          <w:tcPr>
            <w:tcW w:w="2969" w:type="dxa"/>
            <w:vAlign w:val="center"/>
            <w:hideMark/>
          </w:tcPr>
          <w:p w14:paraId="46357757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Implementace pilotního provozu na vybrané skupině uživatelů</w:t>
            </w:r>
            <w:r w:rsidR="00D1577A" w:rsidRPr="00D1577A">
              <w:t xml:space="preserve"> </w:t>
            </w:r>
          </w:p>
        </w:tc>
        <w:tc>
          <w:tcPr>
            <w:tcW w:w="6095" w:type="dxa"/>
            <w:vAlign w:val="center"/>
            <w:hideMark/>
          </w:tcPr>
          <w:p w14:paraId="0C302DF5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Komplexní zajištění distribuce a nasazení agenta na koncové stanice pro vybrané uživatele a otestování funkcionalit.</w:t>
            </w:r>
          </w:p>
        </w:tc>
      </w:tr>
      <w:tr w:rsidR="00D1577A" w:rsidRPr="00D1577A" w14:paraId="032B2D27" w14:textId="77777777" w:rsidTr="29AF93DC">
        <w:tc>
          <w:tcPr>
            <w:tcW w:w="2969" w:type="dxa"/>
            <w:vAlign w:val="center"/>
            <w:hideMark/>
          </w:tcPr>
          <w:p w14:paraId="0A143DC1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Asistence při nasazení </w:t>
            </w:r>
          </w:p>
        </w:tc>
        <w:tc>
          <w:tcPr>
            <w:tcW w:w="6095" w:type="dxa"/>
            <w:vAlign w:val="center"/>
            <w:hideMark/>
          </w:tcPr>
          <w:p w14:paraId="4591BDCD" w14:textId="2C6ECB4B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Konzultace a změnová řízení při </w:t>
            </w:r>
            <w:r w:rsidR="004D488F">
              <w:t xml:space="preserve">nasazení pro celé prostředí </w:t>
            </w:r>
            <w:r w:rsidR="0094011C">
              <w:t>Objednatel</w:t>
            </w:r>
            <w:r w:rsidR="004D488F">
              <w:t>e</w:t>
            </w:r>
          </w:p>
        </w:tc>
      </w:tr>
    </w:tbl>
    <w:p w14:paraId="2A6FF62E" w14:textId="77777777" w:rsidR="00D1577A" w:rsidRPr="00D1577A" w:rsidRDefault="00D1577A" w:rsidP="001121AA">
      <w:pPr>
        <w:pStyle w:val="Nadpis2"/>
      </w:pPr>
      <w:r w:rsidRPr="00D1577A">
        <w:t>Odborné školení</w:t>
      </w:r>
    </w:p>
    <w:p w14:paraId="2444015B" w14:textId="77777777" w:rsidR="00645753" w:rsidRDefault="00D1577A" w:rsidP="00AE6AF4">
      <w:r w:rsidRPr="00D1577A">
        <w:t xml:space="preserve">V oblasti odborného školení </w:t>
      </w:r>
      <w:r w:rsidR="00645753">
        <w:t>je požadován následující rozsah školení: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645753" w14:paraId="7742352E" w14:textId="77777777" w:rsidTr="004D488F">
        <w:tc>
          <w:tcPr>
            <w:tcW w:w="2972" w:type="dxa"/>
          </w:tcPr>
          <w:p w14:paraId="5FF4C4D7" w14:textId="77777777" w:rsidR="00645753" w:rsidRPr="00110B71" w:rsidRDefault="00645753" w:rsidP="00AE6AF4">
            <w:pPr>
              <w:rPr>
                <w:b/>
              </w:rPr>
            </w:pPr>
            <w:r w:rsidRPr="00110B71">
              <w:rPr>
                <w:b/>
              </w:rPr>
              <w:t>Typ školení</w:t>
            </w:r>
          </w:p>
        </w:tc>
        <w:tc>
          <w:tcPr>
            <w:tcW w:w="6095" w:type="dxa"/>
          </w:tcPr>
          <w:p w14:paraId="4C306291" w14:textId="77777777" w:rsidR="00645753" w:rsidRPr="00110B71" w:rsidRDefault="00645753" w:rsidP="00AE6AF4">
            <w:pPr>
              <w:rPr>
                <w:b/>
              </w:rPr>
            </w:pPr>
            <w:r w:rsidRPr="00110B71">
              <w:rPr>
                <w:b/>
              </w:rPr>
              <w:t>Popis</w:t>
            </w:r>
          </w:p>
        </w:tc>
      </w:tr>
      <w:tr w:rsidR="00645753" w14:paraId="0B260619" w14:textId="77777777" w:rsidTr="004D488F">
        <w:tc>
          <w:tcPr>
            <w:tcW w:w="2972" w:type="dxa"/>
          </w:tcPr>
          <w:p w14:paraId="41FF241D" w14:textId="77777777" w:rsidR="00645753" w:rsidRDefault="00645753" w:rsidP="00AE6AF4">
            <w:r w:rsidRPr="00D1577A">
              <w:t>Hands-On školení</w:t>
            </w:r>
          </w:p>
        </w:tc>
        <w:tc>
          <w:tcPr>
            <w:tcW w:w="6095" w:type="dxa"/>
          </w:tcPr>
          <w:p w14:paraId="741956DB" w14:textId="296AE147" w:rsidR="00645753" w:rsidRDefault="00645753" w:rsidP="00AE6AF4">
            <w:r w:rsidRPr="00D1577A">
              <w:t xml:space="preserve">Dodavatel provádí implementaci </w:t>
            </w:r>
            <w:r>
              <w:t xml:space="preserve">a integraci </w:t>
            </w:r>
            <w:r w:rsidRPr="00D1577A">
              <w:t>definovanou v</w:t>
            </w:r>
            <w:r>
              <w:t> </w:t>
            </w:r>
            <w:r w:rsidRPr="00D1577A">
              <w:t>kapitol</w:t>
            </w:r>
            <w:r>
              <w:t xml:space="preserve">e </w:t>
            </w:r>
            <w:r w:rsidRPr="00D1577A">
              <w:t>3.</w:t>
            </w:r>
            <w:r w:rsidR="009E7992">
              <w:t xml:space="preserve">2 </w:t>
            </w:r>
            <w:r w:rsidRPr="00D1577A">
              <w:t xml:space="preserve">této Technické specifikace ve formě slovního průvodce, kdy veškeré činnosti provádí zástupce </w:t>
            </w:r>
            <w:r w:rsidR="0094011C">
              <w:t>Objednatel</w:t>
            </w:r>
            <w:r w:rsidRPr="00D1577A">
              <w:t xml:space="preserve">e. Jednotlivé kroky implementace jsou zástupci </w:t>
            </w:r>
            <w:r w:rsidR="0094011C">
              <w:t>Objednatel</w:t>
            </w:r>
            <w:r w:rsidRPr="00D1577A">
              <w:t>e podrobně popsány tak, aby</w:t>
            </w:r>
            <w:r>
              <w:t xml:space="preserve"> </w:t>
            </w:r>
            <w:r w:rsidRPr="00D1577A">
              <w:t xml:space="preserve">došlo k ideální konfiguraci pro dané prostředí </w:t>
            </w:r>
            <w:r w:rsidR="0094011C">
              <w:t>Objednatel</w:t>
            </w:r>
            <w:r w:rsidRPr="00D1577A">
              <w:t>e</w:t>
            </w:r>
            <w:r>
              <w:t>.</w:t>
            </w:r>
          </w:p>
        </w:tc>
      </w:tr>
    </w:tbl>
    <w:p w14:paraId="4CC4AE58" w14:textId="77777777" w:rsidR="00D1577A" w:rsidRPr="00D1577A" w:rsidRDefault="00D1577A" w:rsidP="001121AA">
      <w:pPr>
        <w:pStyle w:val="Nadpis2"/>
      </w:pPr>
      <w:r w:rsidRPr="00D1577A">
        <w:t>Post-implementační a technická podpora</w:t>
      </w:r>
    </w:p>
    <w:p w14:paraId="306147D4" w14:textId="77777777" w:rsidR="00D1577A" w:rsidRPr="00D1577A" w:rsidRDefault="00D1577A" w:rsidP="00AE6AF4">
      <w:r w:rsidRPr="00D1577A">
        <w:t>V oblasti post-implemetační a technické podpory jsou definovány následující požadavky:</w:t>
      </w: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6E6FB856" w14:textId="77777777" w:rsidTr="29AF93DC">
        <w:tc>
          <w:tcPr>
            <w:tcW w:w="2969" w:type="dxa"/>
            <w:vAlign w:val="center"/>
            <w:hideMark/>
          </w:tcPr>
          <w:p w14:paraId="1F0D4C09" w14:textId="77777777" w:rsidR="00D1577A" w:rsidRPr="004D488F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5C2ABBB3" w14:textId="77777777" w:rsidR="00D1577A" w:rsidRPr="004D488F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>Požadavky</w:t>
            </w:r>
          </w:p>
        </w:tc>
      </w:tr>
      <w:tr w:rsidR="00D1577A" w:rsidRPr="00D1577A" w14:paraId="45C56A3A" w14:textId="77777777" w:rsidTr="29AF93DC">
        <w:tc>
          <w:tcPr>
            <w:tcW w:w="2969" w:type="dxa"/>
            <w:vAlign w:val="center"/>
            <w:hideMark/>
          </w:tcPr>
          <w:p w14:paraId="4EFFB42D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Oficiální podpora výrobce</w:t>
            </w:r>
          </w:p>
        </w:tc>
        <w:tc>
          <w:tcPr>
            <w:tcW w:w="6095" w:type="dxa"/>
            <w:vAlign w:val="center"/>
            <w:hideMark/>
          </w:tcPr>
          <w:p w14:paraId="42B002C8" w14:textId="2E32EF16" w:rsidR="009E7992" w:rsidRDefault="00D1577A" w:rsidP="00AE6AF4">
            <w:r>
              <w:t xml:space="preserve">Dodavatel zajistí oficiální podporu výrobce po dobu </w:t>
            </w:r>
            <w:r w:rsidR="009E7992">
              <w:t>12 měsíců</w:t>
            </w:r>
            <w:r>
              <w:t xml:space="preserve"> od dodávky technologií a licencí, která zahrnuje minimálně:</w:t>
            </w:r>
          </w:p>
          <w:p w14:paraId="756783BA" w14:textId="77777777" w:rsidR="009E7992" w:rsidRDefault="00D1577A" w:rsidP="009E7992">
            <w:pPr>
              <w:pStyle w:val="Odstavecseseznamem"/>
              <w:numPr>
                <w:ilvl w:val="0"/>
                <w:numId w:val="18"/>
              </w:numPr>
            </w:pPr>
            <w:r w:rsidRPr="00D1577A">
              <w:t xml:space="preserve">Režim podpory </w:t>
            </w:r>
            <w:r w:rsidR="009E7992">
              <w:t>24x7</w:t>
            </w:r>
            <w:r w:rsidRPr="00D1577A">
              <w:t>x4 (</w:t>
            </w:r>
            <w:r w:rsidR="009E7992">
              <w:t>24</w:t>
            </w:r>
            <w:r w:rsidRPr="00D1577A">
              <w:t xml:space="preserve"> hodin denně, reakční doba 4 hodiny)</w:t>
            </w:r>
            <w:r w:rsidR="009E7992">
              <w:t>.</w:t>
            </w:r>
            <w:r w:rsidRPr="00D1577A">
              <w:t xml:space="preserve"> </w:t>
            </w:r>
          </w:p>
          <w:p w14:paraId="1F3564F1" w14:textId="77777777" w:rsidR="009E7992" w:rsidRDefault="00D1577A" w:rsidP="009E7992">
            <w:pPr>
              <w:pStyle w:val="Odstavecseseznamem"/>
              <w:numPr>
                <w:ilvl w:val="0"/>
                <w:numId w:val="18"/>
              </w:numPr>
            </w:pPr>
            <w:r w:rsidRPr="00D1577A">
              <w:t>Podpora dostupná na webovém portálu výrobce,</w:t>
            </w:r>
            <w:r w:rsidR="009E7992">
              <w:t xml:space="preserve"> </w:t>
            </w:r>
            <w:r w:rsidRPr="00D1577A">
              <w:t>e-mailu a telefonu</w:t>
            </w:r>
          </w:p>
          <w:p w14:paraId="5E6E3A74" w14:textId="77777777" w:rsidR="00D1577A" w:rsidRPr="009E7992" w:rsidRDefault="00D1577A" w:rsidP="009E7992">
            <w:pPr>
              <w:pStyle w:val="Odstavecseseznamem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Přístup k novým verzím </w:t>
            </w:r>
            <w:r w:rsidR="009E7992">
              <w:t>SW (agent)</w:t>
            </w:r>
            <w:r w:rsidRPr="00D1577A">
              <w:t>- Aktualizace bezpečnostních definic pro</w:t>
            </w:r>
            <w:r w:rsidR="009E7992">
              <w:t xml:space="preserve"> funkcionality </w:t>
            </w:r>
            <w:r w:rsidRPr="00D1577A">
              <w:t>definované v kapitole 3.1.</w:t>
            </w:r>
          </w:p>
        </w:tc>
      </w:tr>
      <w:tr w:rsidR="00D1577A" w:rsidRPr="00D1577A" w14:paraId="3D36F5F2" w14:textId="77777777" w:rsidTr="29AF93DC">
        <w:tc>
          <w:tcPr>
            <w:tcW w:w="2969" w:type="dxa"/>
            <w:vAlign w:val="center"/>
            <w:hideMark/>
          </w:tcPr>
          <w:p w14:paraId="4189171A" w14:textId="77777777" w:rsidR="00D1577A" w:rsidRPr="00AD7C2E" w:rsidRDefault="00D1577A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Podpora dodavatele </w:t>
            </w:r>
          </w:p>
        </w:tc>
        <w:tc>
          <w:tcPr>
            <w:tcW w:w="6095" w:type="dxa"/>
            <w:vAlign w:val="center"/>
            <w:hideMark/>
          </w:tcPr>
          <w:p w14:paraId="434806BA" w14:textId="326EFF6E" w:rsidR="00D1577A" w:rsidRPr="00AD7C2E" w:rsidRDefault="00D1577A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Dodavatel zajistí podporu po dobu </w:t>
            </w:r>
            <w:r w:rsidR="31DE1770">
              <w:t>12 měsíců</w:t>
            </w:r>
            <w:r>
              <w:t xml:space="preserve"> dle paramet</w:t>
            </w:r>
            <w:r w:rsidR="03476D23">
              <w:t>r</w:t>
            </w:r>
            <w:r>
              <w:t>ů a za podmínek uvedených v Závazném vzoru smlouvy a jejích přílohách (zejména Zvláštní obchodní podmínky pro zakázky v oblasti ICT).</w:t>
            </w:r>
          </w:p>
        </w:tc>
      </w:tr>
    </w:tbl>
    <w:p w14:paraId="00861FBB" w14:textId="77777777" w:rsidR="00D1577A" w:rsidRPr="00D1577A" w:rsidRDefault="00D1577A" w:rsidP="00677742">
      <w:pPr>
        <w:pStyle w:val="Nadpis2"/>
      </w:pPr>
      <w:r w:rsidRPr="00D1577A">
        <w:t>Konzultační služby na vyžádání</w:t>
      </w:r>
    </w:p>
    <w:p w14:paraId="347C021B" w14:textId="77777777" w:rsidR="00D1577A" w:rsidRPr="00D1577A" w:rsidRDefault="00D1577A" w:rsidP="00AE6AF4">
      <w:pPr>
        <w:rPr>
          <w:rFonts w:ascii="Times New Roman" w:hAnsi="Times New Roman"/>
          <w:sz w:val="24"/>
          <w:szCs w:val="24"/>
        </w:rPr>
      </w:pPr>
      <w:r w:rsidRPr="00D1577A">
        <w:lastRenderedPageBreak/>
        <w:t>V oblasti konzultačních služeb jsou definovány následující požadavky:</w:t>
      </w:r>
    </w:p>
    <w:p w14:paraId="14698FFE" w14:textId="77777777" w:rsidR="00D1577A" w:rsidRPr="00D1577A" w:rsidRDefault="00D1577A" w:rsidP="00AE6AF4"/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0CB40DAF" w14:textId="77777777" w:rsidTr="004D488F">
        <w:tc>
          <w:tcPr>
            <w:tcW w:w="2969" w:type="dxa"/>
            <w:vAlign w:val="center"/>
            <w:hideMark/>
          </w:tcPr>
          <w:p w14:paraId="30C5BB82" w14:textId="77777777" w:rsidR="00D1577A" w:rsidRPr="00677742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742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2CB73D36" w14:textId="77777777" w:rsidR="00D1577A" w:rsidRPr="00677742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742">
              <w:rPr>
                <w:b/>
              </w:rPr>
              <w:t>Požadavky</w:t>
            </w:r>
          </w:p>
        </w:tc>
      </w:tr>
      <w:tr w:rsidR="00D1577A" w:rsidRPr="00D1577A" w14:paraId="015A6E9D" w14:textId="77777777" w:rsidTr="004D488F">
        <w:tc>
          <w:tcPr>
            <w:tcW w:w="2969" w:type="dxa"/>
            <w:vAlign w:val="center"/>
            <w:hideMark/>
          </w:tcPr>
          <w:p w14:paraId="727DB239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Konfigurační konzultace</w:t>
            </w:r>
          </w:p>
        </w:tc>
        <w:tc>
          <w:tcPr>
            <w:tcW w:w="6095" w:type="dxa"/>
            <w:vAlign w:val="center"/>
            <w:hideMark/>
          </w:tcPr>
          <w:p w14:paraId="5B2B2D61" w14:textId="3A96BDC9" w:rsidR="009E7992" w:rsidRDefault="00D1577A" w:rsidP="00AE6AF4">
            <w:r w:rsidRPr="00D1577A">
              <w:t xml:space="preserve">Dodavatel zajistí certifikovaného odborníka v oblasti dodané technologie, který </w:t>
            </w:r>
            <w:r w:rsidR="0094011C">
              <w:t>Objednatel</w:t>
            </w:r>
            <w:r w:rsidRPr="00D1577A">
              <w:t>i umožní konzultovat konfigurační parametry dodaného řešení.</w:t>
            </w:r>
            <w:r w:rsidR="009E7992">
              <w:t xml:space="preserve"> </w:t>
            </w:r>
          </w:p>
          <w:p w14:paraId="2278BD6E" w14:textId="77777777" w:rsidR="009E7992" w:rsidRDefault="009E7992" w:rsidP="00AE6AF4"/>
          <w:p w14:paraId="0D07DA9D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Požadovaný počet MD k čerpání: 5</w:t>
            </w:r>
          </w:p>
        </w:tc>
      </w:tr>
      <w:tr w:rsidR="00D1577A" w:rsidRPr="00D1577A" w14:paraId="0D50ED4D" w14:textId="77777777" w:rsidTr="004D488F">
        <w:tc>
          <w:tcPr>
            <w:tcW w:w="2969" w:type="dxa"/>
            <w:vAlign w:val="center"/>
            <w:hideMark/>
          </w:tcPr>
          <w:p w14:paraId="05522BA5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Analytická konzultace </w:t>
            </w:r>
          </w:p>
        </w:tc>
        <w:tc>
          <w:tcPr>
            <w:tcW w:w="6095" w:type="dxa"/>
            <w:vAlign w:val="center"/>
            <w:hideMark/>
          </w:tcPr>
          <w:p w14:paraId="3C610BAB" w14:textId="77777777" w:rsidR="009E7992" w:rsidRDefault="00D1577A" w:rsidP="00AE6AF4">
            <w:r w:rsidRPr="00D1577A">
              <w:t>Dodavatel zajistí certifikovaného odborníka v oblasti vyšetřování kybernetických událostí v rámci dodané technologie pro konzultace bezpečnostních nálezů identifikovaných dodaným řešením.</w:t>
            </w:r>
          </w:p>
          <w:p w14:paraId="72098355" w14:textId="77777777" w:rsidR="009E7992" w:rsidRDefault="009E7992" w:rsidP="00AE6AF4"/>
          <w:p w14:paraId="72003728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Požadovaný počet MD k čerpání: 5</w:t>
            </w:r>
          </w:p>
        </w:tc>
      </w:tr>
    </w:tbl>
    <w:p w14:paraId="74AC4882" w14:textId="77777777" w:rsidR="00D1577A" w:rsidRPr="00D1577A" w:rsidRDefault="00D1577A" w:rsidP="00AE6AF4">
      <w:r w:rsidRPr="00D1577A">
        <w:t>Maximální limit MD k čerpání v součtu pro konfigurační konzultace a analytické konzultace je 10 MD.</w:t>
      </w:r>
    </w:p>
    <w:p w14:paraId="1066A382" w14:textId="77777777" w:rsidR="00D1577A" w:rsidRPr="00D1577A" w:rsidRDefault="00D1577A" w:rsidP="001121AA">
      <w:pPr>
        <w:pStyle w:val="Nadpis1"/>
      </w:pPr>
      <w:r w:rsidRPr="00D1577A">
        <w:t>Fáze dodávky a akceptační milníky</w:t>
      </w:r>
    </w:p>
    <w:p w14:paraId="4C9B6481" w14:textId="3856DEAF" w:rsidR="00D1577A" w:rsidRPr="00D1577A" w:rsidRDefault="00D1577A" w:rsidP="00AE6AF4">
      <w:r w:rsidRPr="00D1577A">
        <w:t xml:space="preserve">Plnění musí být dodáno v níže uvedených fázích. Každá z níže uvedených fází (tj. každý řádek níže uvedené tabulky) musí být </w:t>
      </w:r>
      <w:r w:rsidR="0094011C">
        <w:t>Objednatel</w:t>
      </w:r>
      <w:r w:rsidRPr="00D1577A">
        <w:t xml:space="preserve">em separátně akceptována nejpozději v termínu uvedeném v Harmonogramu. </w:t>
      </w:r>
      <w:r w:rsidR="0094011C">
        <w:t>Objednatel</w:t>
      </w:r>
      <w:r w:rsidRPr="00D1577A">
        <w:t xml:space="preserve"> akceptuje výstupy dané Fáze, jestliže je dodavatel provedl v šíři a kvalitě požadované v zadávací dokumentaci této veřejné zakázky. V opačném případě je dodavatel povinen napravit nedostatky plnění.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9"/>
        <w:gridCol w:w="6945"/>
      </w:tblGrid>
      <w:tr w:rsidR="004E62AD" w:rsidRPr="00D1577A" w14:paraId="4B41D4DF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6B7E23" w14:textId="77777777" w:rsidR="004E62AD" w:rsidRPr="004E62AD" w:rsidRDefault="004E62AD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62AD">
              <w:rPr>
                <w:b/>
              </w:rPr>
              <w:t xml:space="preserve">Fáze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D2ACF4" w14:textId="77777777" w:rsidR="004E62AD" w:rsidRPr="004E62AD" w:rsidRDefault="004E62AD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62AD">
              <w:rPr>
                <w:b/>
              </w:rPr>
              <w:t xml:space="preserve">Popis </w:t>
            </w:r>
          </w:p>
        </w:tc>
      </w:tr>
      <w:tr w:rsidR="004E62AD" w:rsidRPr="00D1577A" w14:paraId="66EF7D9F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905836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F1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94EA5B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Dodávka</w:t>
            </w:r>
            <w:r>
              <w:t xml:space="preserve"> funkcionalit webové proxy a cloudového firewallu</w:t>
            </w:r>
          </w:p>
        </w:tc>
      </w:tr>
      <w:tr w:rsidR="004E62AD" w:rsidRPr="00D1577A" w14:paraId="1B7F12A6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B3316E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F2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7BF551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Implementační</w:t>
            </w:r>
            <w:r>
              <w:t xml:space="preserve"> a integrační práce</w:t>
            </w:r>
          </w:p>
        </w:tc>
      </w:tr>
      <w:tr w:rsidR="004E62AD" w:rsidRPr="00D1577A" w14:paraId="596E8A28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FB2532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F3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CEE686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Školení:- Hands-On školení</w:t>
            </w:r>
          </w:p>
        </w:tc>
      </w:tr>
      <w:tr w:rsidR="004E62AD" w:rsidRPr="00D1577A" w14:paraId="1C7D971B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B6F475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F4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CCCA67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Post-implemetační a technická podpora- Oficiální podpora výrobce</w:t>
            </w:r>
          </w:p>
        </w:tc>
      </w:tr>
      <w:tr w:rsidR="004E62AD" w:rsidRPr="00D1577A" w14:paraId="72F66AF7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91AA2F0" w14:textId="77777777" w:rsidR="004E62AD" w:rsidRPr="00AD7C2E" w:rsidRDefault="69DCCFC9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F4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E98740" w14:textId="77777777" w:rsidR="004E62AD" w:rsidRPr="00AD7C2E" w:rsidRDefault="69DCCFC9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Post-implemetační a technická podpora- Podpora dodavatele</w:t>
            </w:r>
          </w:p>
        </w:tc>
      </w:tr>
      <w:tr w:rsidR="004E62AD" w:rsidRPr="00D1577A" w14:paraId="4F4879BA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727D93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F5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4871F4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Konzultační služby na vyžádání </w:t>
            </w:r>
          </w:p>
        </w:tc>
      </w:tr>
    </w:tbl>
    <w:p w14:paraId="2A72B77A" w14:textId="77777777" w:rsidR="00A11080" w:rsidRDefault="00A11080" w:rsidP="00AE6AF4"/>
    <w:sectPr w:rsidR="00A110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119E5" w14:textId="77777777" w:rsidR="00766360" w:rsidRDefault="00766360" w:rsidP="00847C13">
      <w:r>
        <w:separator/>
      </w:r>
    </w:p>
  </w:endnote>
  <w:endnote w:type="continuationSeparator" w:id="0">
    <w:p w14:paraId="05FD459E" w14:textId="77777777" w:rsidR="00766360" w:rsidRDefault="00766360" w:rsidP="00847C13">
      <w:r>
        <w:continuationSeparator/>
      </w:r>
    </w:p>
  </w:endnote>
  <w:endnote w:type="continuationNotice" w:id="1">
    <w:p w14:paraId="07913A23" w14:textId="77777777" w:rsidR="00766360" w:rsidRDefault="007663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AEEF3" w14:textId="77777777" w:rsidR="00766360" w:rsidRDefault="00766360" w:rsidP="00847C13">
      <w:r>
        <w:separator/>
      </w:r>
    </w:p>
  </w:footnote>
  <w:footnote w:type="continuationSeparator" w:id="0">
    <w:p w14:paraId="0EAFDE61" w14:textId="77777777" w:rsidR="00766360" w:rsidRDefault="00766360" w:rsidP="00847C13">
      <w:r>
        <w:continuationSeparator/>
      </w:r>
    </w:p>
  </w:footnote>
  <w:footnote w:type="continuationNotice" w:id="1">
    <w:p w14:paraId="006BF298" w14:textId="77777777" w:rsidR="00766360" w:rsidRDefault="007663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00C41" w14:textId="77777777" w:rsidR="00964E5B" w:rsidRDefault="00964E5B">
    <w:pPr>
      <w:pStyle w:val="Zhlav"/>
    </w:pPr>
  </w:p>
  <w:p w14:paraId="3D653553" w14:textId="77777777" w:rsidR="00964E5B" w:rsidRDefault="00964E5B">
    <w:pPr>
      <w:pStyle w:val="Zhlav"/>
    </w:pPr>
  </w:p>
  <w:p w14:paraId="472AC6EA" w14:textId="77777777" w:rsidR="00964E5B" w:rsidRDefault="00964E5B">
    <w:pPr>
      <w:pStyle w:val="Zhlav"/>
    </w:pPr>
  </w:p>
  <w:p w14:paraId="757BD738" w14:textId="77777777" w:rsidR="00964E5B" w:rsidRDefault="00964E5B">
    <w:pPr>
      <w:pStyle w:val="Zhlav"/>
    </w:pPr>
  </w:p>
  <w:p w14:paraId="1FCD93C6" w14:textId="70CDC25B" w:rsidR="00384A04" w:rsidRDefault="00964E5B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DD95192" wp14:editId="56052A91">
          <wp:simplePos x="0" y="0"/>
          <wp:positionH relativeFrom="page">
            <wp:posOffset>461645</wp:posOffset>
          </wp:positionH>
          <wp:positionV relativeFrom="topMargin">
            <wp:posOffset>375285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800BE"/>
    <w:multiLevelType w:val="hybridMultilevel"/>
    <w:tmpl w:val="67D4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665ED"/>
    <w:multiLevelType w:val="hybridMultilevel"/>
    <w:tmpl w:val="D21AB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B5E62"/>
    <w:multiLevelType w:val="hybridMultilevel"/>
    <w:tmpl w:val="5E16E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215D7"/>
    <w:multiLevelType w:val="multilevel"/>
    <w:tmpl w:val="D62E456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1F0853"/>
    <w:multiLevelType w:val="hybridMultilevel"/>
    <w:tmpl w:val="1E36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A5578"/>
    <w:multiLevelType w:val="hybridMultilevel"/>
    <w:tmpl w:val="40D8E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4F76"/>
    <w:multiLevelType w:val="hybridMultilevel"/>
    <w:tmpl w:val="BE5EA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32107"/>
    <w:multiLevelType w:val="hybridMultilevel"/>
    <w:tmpl w:val="66AE7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F6ECF"/>
    <w:multiLevelType w:val="hybridMultilevel"/>
    <w:tmpl w:val="7472A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A3E32"/>
    <w:multiLevelType w:val="hybridMultilevel"/>
    <w:tmpl w:val="DEAAD40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C79B3"/>
    <w:multiLevelType w:val="hybridMultilevel"/>
    <w:tmpl w:val="7D4E92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D6D8B"/>
    <w:multiLevelType w:val="hybridMultilevel"/>
    <w:tmpl w:val="84182B9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E09F3"/>
    <w:multiLevelType w:val="hybridMultilevel"/>
    <w:tmpl w:val="8CA29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5269C"/>
    <w:multiLevelType w:val="hybridMultilevel"/>
    <w:tmpl w:val="E9761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E5F2B"/>
    <w:multiLevelType w:val="hybridMultilevel"/>
    <w:tmpl w:val="63E4B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56B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4885F84"/>
    <w:multiLevelType w:val="hybridMultilevel"/>
    <w:tmpl w:val="2A70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54DF9"/>
    <w:multiLevelType w:val="hybridMultilevel"/>
    <w:tmpl w:val="33361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502756">
    <w:abstractNumId w:val="6"/>
  </w:num>
  <w:num w:numId="2" w16cid:durableId="914559153">
    <w:abstractNumId w:val="3"/>
  </w:num>
  <w:num w:numId="3" w16cid:durableId="739522235">
    <w:abstractNumId w:val="15"/>
  </w:num>
  <w:num w:numId="4" w16cid:durableId="601187960">
    <w:abstractNumId w:val="8"/>
  </w:num>
  <w:num w:numId="5" w16cid:durableId="71515624">
    <w:abstractNumId w:val="7"/>
  </w:num>
  <w:num w:numId="6" w16cid:durableId="42682216">
    <w:abstractNumId w:val="5"/>
  </w:num>
  <w:num w:numId="7" w16cid:durableId="775637701">
    <w:abstractNumId w:val="17"/>
  </w:num>
  <w:num w:numId="8" w16cid:durableId="2135560253">
    <w:abstractNumId w:val="16"/>
  </w:num>
  <w:num w:numId="9" w16cid:durableId="515656184">
    <w:abstractNumId w:val="4"/>
  </w:num>
  <w:num w:numId="10" w16cid:durableId="1830320726">
    <w:abstractNumId w:val="2"/>
  </w:num>
  <w:num w:numId="11" w16cid:durableId="1020475635">
    <w:abstractNumId w:val="1"/>
  </w:num>
  <w:num w:numId="12" w16cid:durableId="520821694">
    <w:abstractNumId w:val="10"/>
  </w:num>
  <w:num w:numId="13" w16cid:durableId="847794844">
    <w:abstractNumId w:val="12"/>
  </w:num>
  <w:num w:numId="14" w16cid:durableId="1316835499">
    <w:abstractNumId w:val="11"/>
  </w:num>
  <w:num w:numId="15" w16cid:durableId="323632949">
    <w:abstractNumId w:val="13"/>
  </w:num>
  <w:num w:numId="16" w16cid:durableId="1562322630">
    <w:abstractNumId w:val="9"/>
  </w:num>
  <w:num w:numId="17" w16cid:durableId="1154447674">
    <w:abstractNumId w:val="14"/>
  </w:num>
  <w:num w:numId="18" w16cid:durableId="1753547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77A"/>
    <w:rsid w:val="000317A4"/>
    <w:rsid w:val="00033F6F"/>
    <w:rsid w:val="000361C5"/>
    <w:rsid w:val="00045DA2"/>
    <w:rsid w:val="00047ACF"/>
    <w:rsid w:val="00076621"/>
    <w:rsid w:val="00077387"/>
    <w:rsid w:val="000D13F6"/>
    <w:rsid w:val="000D1D74"/>
    <w:rsid w:val="000F6EFE"/>
    <w:rsid w:val="0010345C"/>
    <w:rsid w:val="00110B71"/>
    <w:rsid w:val="001121AA"/>
    <w:rsid w:val="00113C54"/>
    <w:rsid w:val="00150046"/>
    <w:rsid w:val="00163089"/>
    <w:rsid w:val="00181E04"/>
    <w:rsid w:val="00183732"/>
    <w:rsid w:val="00183E1E"/>
    <w:rsid w:val="001A181B"/>
    <w:rsid w:val="00204CFA"/>
    <w:rsid w:val="00242E61"/>
    <w:rsid w:val="002443F7"/>
    <w:rsid w:val="00255429"/>
    <w:rsid w:val="00264562"/>
    <w:rsid w:val="00286EFE"/>
    <w:rsid w:val="002D5567"/>
    <w:rsid w:val="002E367A"/>
    <w:rsid w:val="002E374D"/>
    <w:rsid w:val="00300140"/>
    <w:rsid w:val="003117ED"/>
    <w:rsid w:val="003220CD"/>
    <w:rsid w:val="00334B05"/>
    <w:rsid w:val="00346EA2"/>
    <w:rsid w:val="0035259A"/>
    <w:rsid w:val="003617EC"/>
    <w:rsid w:val="00384A04"/>
    <w:rsid w:val="003A6C21"/>
    <w:rsid w:val="003C14EE"/>
    <w:rsid w:val="003F46CB"/>
    <w:rsid w:val="00427053"/>
    <w:rsid w:val="004366E1"/>
    <w:rsid w:val="0046020C"/>
    <w:rsid w:val="0047096A"/>
    <w:rsid w:val="004A27E6"/>
    <w:rsid w:val="004B4947"/>
    <w:rsid w:val="004C7DFC"/>
    <w:rsid w:val="004D488F"/>
    <w:rsid w:val="004E2F47"/>
    <w:rsid w:val="004E62AD"/>
    <w:rsid w:val="0050122F"/>
    <w:rsid w:val="00515ACA"/>
    <w:rsid w:val="005203AD"/>
    <w:rsid w:val="0054595C"/>
    <w:rsid w:val="00546194"/>
    <w:rsid w:val="005809AF"/>
    <w:rsid w:val="00584592"/>
    <w:rsid w:val="00584EA8"/>
    <w:rsid w:val="00597B08"/>
    <w:rsid w:val="005A1E79"/>
    <w:rsid w:val="005D1978"/>
    <w:rsid w:val="005E656A"/>
    <w:rsid w:val="00623ADC"/>
    <w:rsid w:val="00625AD8"/>
    <w:rsid w:val="00644D4F"/>
    <w:rsid w:val="00645753"/>
    <w:rsid w:val="00670EE4"/>
    <w:rsid w:val="00677742"/>
    <w:rsid w:val="00680902"/>
    <w:rsid w:val="006975BA"/>
    <w:rsid w:val="006A5FC1"/>
    <w:rsid w:val="006B538F"/>
    <w:rsid w:val="006C47E1"/>
    <w:rsid w:val="006D5A1A"/>
    <w:rsid w:val="006E4A2B"/>
    <w:rsid w:val="007045FC"/>
    <w:rsid w:val="00714FC5"/>
    <w:rsid w:val="00736C14"/>
    <w:rsid w:val="00747084"/>
    <w:rsid w:val="00766360"/>
    <w:rsid w:val="0078127E"/>
    <w:rsid w:val="0078568A"/>
    <w:rsid w:val="007B6D86"/>
    <w:rsid w:val="00800DE6"/>
    <w:rsid w:val="00822E45"/>
    <w:rsid w:val="00847C13"/>
    <w:rsid w:val="008A080C"/>
    <w:rsid w:val="008B4FAE"/>
    <w:rsid w:val="008D5C2B"/>
    <w:rsid w:val="008D75DF"/>
    <w:rsid w:val="009033FC"/>
    <w:rsid w:val="009048AD"/>
    <w:rsid w:val="00913E13"/>
    <w:rsid w:val="00934762"/>
    <w:rsid w:val="0094011C"/>
    <w:rsid w:val="00960256"/>
    <w:rsid w:val="00964E5B"/>
    <w:rsid w:val="00974E83"/>
    <w:rsid w:val="009C2627"/>
    <w:rsid w:val="009D1256"/>
    <w:rsid w:val="009D39AB"/>
    <w:rsid w:val="009D7B00"/>
    <w:rsid w:val="009E1A2E"/>
    <w:rsid w:val="009E7992"/>
    <w:rsid w:val="00A05AFD"/>
    <w:rsid w:val="00A11080"/>
    <w:rsid w:val="00A13181"/>
    <w:rsid w:val="00A24549"/>
    <w:rsid w:val="00A41325"/>
    <w:rsid w:val="00A4651F"/>
    <w:rsid w:val="00A50A22"/>
    <w:rsid w:val="00A67434"/>
    <w:rsid w:val="00AC0144"/>
    <w:rsid w:val="00AC6645"/>
    <w:rsid w:val="00AD631B"/>
    <w:rsid w:val="00AD7C2E"/>
    <w:rsid w:val="00AE6AF4"/>
    <w:rsid w:val="00AF516D"/>
    <w:rsid w:val="00B004EC"/>
    <w:rsid w:val="00B22617"/>
    <w:rsid w:val="00B62665"/>
    <w:rsid w:val="00B67BCE"/>
    <w:rsid w:val="00B81580"/>
    <w:rsid w:val="00B9482C"/>
    <w:rsid w:val="00BB54FB"/>
    <w:rsid w:val="00BC768E"/>
    <w:rsid w:val="00BD29D9"/>
    <w:rsid w:val="00BF1FF0"/>
    <w:rsid w:val="00BF645E"/>
    <w:rsid w:val="00C10B10"/>
    <w:rsid w:val="00C35BB6"/>
    <w:rsid w:val="00C60C41"/>
    <w:rsid w:val="00C74C28"/>
    <w:rsid w:val="00CB7334"/>
    <w:rsid w:val="00CD2A34"/>
    <w:rsid w:val="00CE457A"/>
    <w:rsid w:val="00D1577A"/>
    <w:rsid w:val="00D2321E"/>
    <w:rsid w:val="00D343D2"/>
    <w:rsid w:val="00D60385"/>
    <w:rsid w:val="00D721B1"/>
    <w:rsid w:val="00D92604"/>
    <w:rsid w:val="00DC6B81"/>
    <w:rsid w:val="00DD10E0"/>
    <w:rsid w:val="00DD125F"/>
    <w:rsid w:val="00DD7479"/>
    <w:rsid w:val="00DF099B"/>
    <w:rsid w:val="00E16B82"/>
    <w:rsid w:val="00E21F29"/>
    <w:rsid w:val="00E26D01"/>
    <w:rsid w:val="00E309F1"/>
    <w:rsid w:val="00E36659"/>
    <w:rsid w:val="00E50BE3"/>
    <w:rsid w:val="00E603E5"/>
    <w:rsid w:val="00E645A0"/>
    <w:rsid w:val="00E8015B"/>
    <w:rsid w:val="00EA07D4"/>
    <w:rsid w:val="00F1590D"/>
    <w:rsid w:val="00F54363"/>
    <w:rsid w:val="00F94EFD"/>
    <w:rsid w:val="00FB75B2"/>
    <w:rsid w:val="00FD40D8"/>
    <w:rsid w:val="00FD4D2B"/>
    <w:rsid w:val="00FE7DDD"/>
    <w:rsid w:val="03476D23"/>
    <w:rsid w:val="1251F741"/>
    <w:rsid w:val="135B22F0"/>
    <w:rsid w:val="13CFA812"/>
    <w:rsid w:val="1BA46E29"/>
    <w:rsid w:val="1D2FCD01"/>
    <w:rsid w:val="29AF93DC"/>
    <w:rsid w:val="2C418A79"/>
    <w:rsid w:val="2EC9FA90"/>
    <w:rsid w:val="304FD815"/>
    <w:rsid w:val="31DE1770"/>
    <w:rsid w:val="3D183FAE"/>
    <w:rsid w:val="4A08DCF1"/>
    <w:rsid w:val="4A650569"/>
    <w:rsid w:val="6231CFBA"/>
    <w:rsid w:val="64668C9A"/>
    <w:rsid w:val="64A9CE48"/>
    <w:rsid w:val="69DCC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EDEB9"/>
  <w15:docId w15:val="{BA8E825F-3AEA-4AE4-A4B0-AB6504AD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6AF4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E6AF4"/>
    <w:pPr>
      <w:numPr>
        <w:numId w:val="3"/>
      </w:numPr>
      <w:spacing w:before="360" w:after="120"/>
      <w:ind w:left="431" w:hanging="431"/>
      <w:outlineLvl w:val="0"/>
    </w:pPr>
    <w:rPr>
      <w:b/>
      <w:bCs/>
      <w:color w:val="FF520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6AF4"/>
    <w:pPr>
      <w:numPr>
        <w:ilvl w:val="1"/>
        <w:numId w:val="3"/>
      </w:numPr>
      <w:spacing w:before="360" w:after="120"/>
      <w:ind w:left="578" w:hanging="578"/>
      <w:outlineLvl w:val="1"/>
    </w:pPr>
    <w:rPr>
      <w:b/>
      <w:bCs/>
      <w:color w:val="FF520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6AF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6AF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6AF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6AF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6AF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6AF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6AF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D1577A"/>
    <w:rPr>
      <w:rFonts w:ascii="Verdana" w:hAnsi="Verdana" w:hint="default"/>
      <w:b/>
      <w:bCs/>
      <w:i w:val="0"/>
      <w:iCs w:val="0"/>
      <w:color w:val="FF5200"/>
      <w:sz w:val="36"/>
      <w:szCs w:val="36"/>
    </w:rPr>
  </w:style>
  <w:style w:type="character" w:customStyle="1" w:styleId="fontstyle21">
    <w:name w:val="fontstyle21"/>
    <w:basedOn w:val="Standardnpsmoodstavce"/>
    <w:rsid w:val="00D1577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D1577A"/>
    <w:rPr>
      <w:rFonts w:ascii="Wingdings" w:hAnsi="Wingding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Standardnpsmoodstavce"/>
    <w:rsid w:val="00D1577A"/>
    <w:rPr>
      <w:rFonts w:ascii="Verdana" w:hAnsi="Verdana" w:hint="default"/>
      <w:b w:val="0"/>
      <w:bCs w:val="0"/>
      <w:i/>
      <w:iCs/>
      <w:color w:val="000000"/>
      <w:sz w:val="18"/>
      <w:szCs w:val="18"/>
    </w:rPr>
  </w:style>
  <w:style w:type="character" w:customStyle="1" w:styleId="fontstyle51">
    <w:name w:val="fontstyle51"/>
    <w:basedOn w:val="Standardnpsmoodstavce"/>
    <w:rsid w:val="00D1577A"/>
    <w:rPr>
      <w:rFonts w:ascii="Symbol" w:hAnsi="Symbo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61">
    <w:name w:val="fontstyle61"/>
    <w:basedOn w:val="Standardnpsmoodstavce"/>
    <w:rsid w:val="00D1577A"/>
    <w:rPr>
      <w:rFonts w:ascii="Courier" w:hAnsi="Courier" w:hint="default"/>
      <w:b w:val="0"/>
      <w:bCs w:val="0"/>
      <w:i w:val="0"/>
      <w:iCs w:val="0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1577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E6AF4"/>
    <w:rPr>
      <w:rFonts w:ascii="Verdana" w:eastAsia="Times New Roman" w:hAnsi="Verdana" w:cs="Times New Roman"/>
      <w:b/>
      <w:bCs/>
      <w:color w:val="FF5200"/>
      <w:sz w:val="36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E6AF4"/>
    <w:rPr>
      <w:rFonts w:ascii="Verdana" w:eastAsia="Times New Roman" w:hAnsi="Verdana" w:cs="Times New Roman"/>
      <w:b/>
      <w:bCs/>
      <w:color w:val="FF5201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6A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6AF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6AF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6AF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6AF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6A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6A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847C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7C13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7C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7C13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64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74E83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C35BB6"/>
  </w:style>
  <w:style w:type="character" w:customStyle="1" w:styleId="TextkomenteChar">
    <w:name w:val="Text komentáře Char"/>
    <w:basedOn w:val="Standardnpsmoodstavce"/>
    <w:link w:val="Textkomente"/>
    <w:uiPriority w:val="99"/>
    <w:rsid w:val="00C35BB6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35BB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54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54FB"/>
    <w:rPr>
      <w:rFonts w:ascii="Verdana" w:eastAsia="Times New Roman" w:hAnsi="Verdana" w:cs="Times New Roman"/>
      <w:b/>
      <w:bCs/>
      <w:color w:val="000000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B4947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0D86FB-F588-407B-A7D9-7DBA03A17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F7ACFF-5335-4058-A512-EDC20403B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0FFE84-1D35-4BE8-8BB2-27787797AD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2762</Words>
  <Characters>16298</Characters>
  <Application>Microsoft Office Word</Application>
  <DocSecurity>0</DocSecurity>
  <Lines>135</Lines>
  <Paragraphs>38</Paragraphs>
  <ScaleCrop>false</ScaleCrop>
  <Company/>
  <LinksUpToDate>false</LinksUpToDate>
  <CharactersWithSpaces>19022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 Jaroslav, Ing.</dc:creator>
  <cp:keywords/>
  <dc:description/>
  <cp:lastModifiedBy>Kleprlíková Hana, Bc.</cp:lastModifiedBy>
  <cp:revision>3</cp:revision>
  <dcterms:created xsi:type="dcterms:W3CDTF">2024-07-16T15:59:00Z</dcterms:created>
  <dcterms:modified xsi:type="dcterms:W3CDTF">2024-07-17T07:02:00Z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0x010100680085B54B37D849AE1C6486AE700F39</vt:lpwstr>
  </property>
</Properties>
</file>